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B9815EA" w14:textId="73B2D0AF" w:rsidR="0016385D" w:rsidRPr="00075EA6" w:rsidRDefault="001C7446" w:rsidP="00D30640">
      <w:pPr>
        <w:pStyle w:val="PaperTitle"/>
        <w:spacing w:before="0"/>
        <w:rPr>
          <w:b w:val="0"/>
          <w:bCs/>
          <w:sz w:val="24"/>
          <w:szCs w:val="24"/>
        </w:rPr>
      </w:pPr>
      <w:proofErr w:type="spellStart"/>
      <w:r>
        <w:t>Ecochain</w:t>
      </w:r>
      <w:proofErr w:type="spellEnd"/>
      <w:r>
        <w:t>: A Layer</w:t>
      </w:r>
      <w:r>
        <w:noBreakHyphen/>
        <w:t>2 Blockchain Approach to Cutting E</w:t>
      </w:r>
      <w:r>
        <w:noBreakHyphen/>
        <w:t>commerce Transaction Fees</w:t>
      </w:r>
    </w:p>
    <w:p w14:paraId="548D96A3" w14:textId="12C54100" w:rsidR="00C14B14" w:rsidRDefault="006061A3" w:rsidP="2F830975">
      <w:pPr>
        <w:pStyle w:val="AuthorName"/>
        <w:rPr>
          <w:sz w:val="20"/>
          <w:lang w:val="en-GB" w:eastAsia="en-GB"/>
        </w:rPr>
      </w:pPr>
      <w:r>
        <w:t>Ahmad Fikri Sharudin</w:t>
      </w:r>
      <w:r w:rsidR="00D2691E" w:rsidRPr="00D2691E">
        <w:rPr>
          <w:vertAlign w:val="superscript"/>
        </w:rPr>
        <w:t>1,</w:t>
      </w:r>
      <w:r w:rsidR="00D2691E">
        <w:t xml:space="preserve"> </w:t>
      </w:r>
      <w:r w:rsidR="00EF6940" w:rsidRPr="2F830975">
        <w:rPr>
          <w:vertAlign w:val="superscript"/>
        </w:rPr>
        <w:t>a)</w:t>
      </w:r>
      <w:r w:rsidR="00C93BF3">
        <w:t>,</w:t>
      </w:r>
      <w:r w:rsidR="00110946">
        <w:t xml:space="preserve"> </w:t>
      </w:r>
      <w:r>
        <w:t>Uzma Jafar</w:t>
      </w:r>
      <w:r w:rsidR="00C93BF3" w:rsidRPr="00C93BF3">
        <w:rPr>
          <w:vertAlign w:val="superscript"/>
        </w:rPr>
        <w:t xml:space="preserve"> </w:t>
      </w:r>
      <w:r w:rsidR="00D2691E">
        <w:rPr>
          <w:vertAlign w:val="superscript"/>
        </w:rPr>
        <w:t xml:space="preserve">1, 2, </w:t>
      </w:r>
      <w:r w:rsidR="00C93BF3" w:rsidRPr="2F830975">
        <w:rPr>
          <w:vertAlign w:val="superscript"/>
        </w:rPr>
        <w:t>b)</w:t>
      </w:r>
      <w:r w:rsidR="00C93BF3">
        <w:t>, and Hafiz Adnan Hussain</w:t>
      </w:r>
      <w:r>
        <w:rPr>
          <w:vertAlign w:val="superscript"/>
        </w:rPr>
        <w:t xml:space="preserve"> </w:t>
      </w:r>
      <w:r w:rsidR="00D2691E">
        <w:rPr>
          <w:vertAlign w:val="superscript"/>
        </w:rPr>
        <w:t>1,</w:t>
      </w:r>
      <w:r w:rsidR="00CD0A59">
        <w:rPr>
          <w:vertAlign w:val="superscript"/>
        </w:rPr>
        <w:t xml:space="preserve"> </w:t>
      </w:r>
      <w:r w:rsidR="00D2691E">
        <w:rPr>
          <w:vertAlign w:val="superscript"/>
        </w:rPr>
        <w:t>2,</w:t>
      </w:r>
      <w:r w:rsidR="00CD0A59">
        <w:rPr>
          <w:vertAlign w:val="superscript"/>
        </w:rPr>
        <w:t xml:space="preserve"> </w:t>
      </w:r>
      <w:r w:rsidR="00C93BF3">
        <w:rPr>
          <w:vertAlign w:val="superscript"/>
        </w:rPr>
        <w:t>c</w:t>
      </w:r>
      <w:r w:rsidR="00C93BF3" w:rsidRPr="2F830975">
        <w:rPr>
          <w:vertAlign w:val="superscript"/>
        </w:rPr>
        <w:t>)</w:t>
      </w:r>
      <w:r w:rsidR="0073043E">
        <w:rPr>
          <w:vertAlign w:val="superscript"/>
        </w:rPr>
        <w:t xml:space="preserve"> </w:t>
      </w:r>
    </w:p>
    <w:p w14:paraId="771D6B6C" w14:textId="0999D95C" w:rsidR="00C14B14" w:rsidRDefault="00D2691E" w:rsidP="0073043E">
      <w:pPr>
        <w:pStyle w:val="AuthorAffiliation"/>
      </w:pPr>
      <w:r w:rsidRPr="00D2691E">
        <w:rPr>
          <w:vertAlign w:val="superscript"/>
        </w:rPr>
        <w:t>1</w:t>
      </w:r>
      <w:r w:rsidR="0073043E">
        <w:t>Faculty of Computing and Informatics, Multimedia University</w:t>
      </w:r>
      <w:r w:rsidR="006B1B5A">
        <w:t>, Persiaran Multimedia,</w:t>
      </w:r>
      <w:r w:rsidR="0073043E">
        <w:t xml:space="preserve"> 63100, Cyberjaya, Selangor, Malaysia</w:t>
      </w:r>
      <w:r w:rsidR="006B1B5A">
        <w:t>.</w:t>
      </w:r>
    </w:p>
    <w:p w14:paraId="624C6E9E" w14:textId="1B701A71" w:rsidR="00D2691E" w:rsidRPr="006B1B5A" w:rsidRDefault="00D2691E" w:rsidP="00D2691E">
      <w:pPr>
        <w:pStyle w:val="p1"/>
        <w:jc w:val="center"/>
        <w:rPr>
          <w:rFonts w:ascii="Times New Roman" w:hAnsi="Times New Roman" w:cs="Times New Roman"/>
          <w:i/>
          <w:iCs/>
          <w:sz w:val="20"/>
          <w:szCs w:val="20"/>
        </w:rPr>
      </w:pPr>
      <w:r w:rsidRPr="00D2691E">
        <w:rPr>
          <w:rFonts w:ascii="Times New Roman" w:hAnsi="Times New Roman" w:cs="Times New Roman"/>
          <w:i/>
          <w:color w:val="auto"/>
          <w:sz w:val="20"/>
          <w:szCs w:val="20"/>
          <w:vertAlign w:val="superscript"/>
        </w:rPr>
        <w:t>2</w:t>
      </w:r>
      <w:r w:rsidRPr="00D2691E">
        <w:rPr>
          <w:rFonts w:ascii="Times New Roman" w:hAnsi="Times New Roman" w:cs="Times New Roman"/>
          <w:i/>
          <w:color w:val="auto"/>
          <w:sz w:val="20"/>
          <w:szCs w:val="20"/>
        </w:rPr>
        <w:t xml:space="preserve">Centre for Big Data and Blockchain Technologies, </w:t>
      </w:r>
      <w:proofErr w:type="spellStart"/>
      <w:r w:rsidRPr="00D2691E">
        <w:rPr>
          <w:rFonts w:ascii="Times New Roman" w:hAnsi="Times New Roman" w:cs="Times New Roman"/>
          <w:i/>
          <w:color w:val="auto"/>
          <w:sz w:val="20"/>
          <w:szCs w:val="20"/>
        </w:rPr>
        <w:t>CoE</w:t>
      </w:r>
      <w:proofErr w:type="spellEnd"/>
      <w:r w:rsidRPr="00D2691E">
        <w:rPr>
          <w:rFonts w:ascii="Times New Roman" w:hAnsi="Times New Roman" w:cs="Times New Roman"/>
          <w:i/>
          <w:color w:val="auto"/>
          <w:sz w:val="20"/>
          <w:szCs w:val="20"/>
        </w:rPr>
        <w:t xml:space="preserve"> for Advanced Cloud</w:t>
      </w:r>
      <w:r w:rsidR="006B1B5A">
        <w:rPr>
          <w:rFonts w:ascii="Times New Roman" w:hAnsi="Times New Roman" w:cs="Times New Roman"/>
          <w:i/>
          <w:color w:val="auto"/>
          <w:sz w:val="20"/>
          <w:szCs w:val="20"/>
        </w:rPr>
        <w:t xml:space="preserve">, </w:t>
      </w:r>
      <w:r w:rsidR="006B1B5A" w:rsidRPr="006B1B5A">
        <w:rPr>
          <w:rFonts w:ascii="Times New Roman" w:hAnsi="Times New Roman" w:cs="Times New Roman"/>
          <w:i/>
          <w:iCs/>
          <w:sz w:val="20"/>
          <w:szCs w:val="20"/>
        </w:rPr>
        <w:t>Multimedia University, Persiaran Multimedia, 63100, Cyberjaya, Selangor, Malaysia</w:t>
      </w:r>
    </w:p>
    <w:p w14:paraId="4B6F047F" w14:textId="77777777" w:rsidR="006B1B5A" w:rsidRDefault="006B1B5A" w:rsidP="0073043E">
      <w:pPr>
        <w:pStyle w:val="AuthorAffiliation"/>
        <w:rPr>
          <w:szCs w:val="28"/>
          <w:vertAlign w:val="superscript"/>
        </w:rPr>
      </w:pPr>
    </w:p>
    <w:p w14:paraId="5E05E235" w14:textId="52B3812A" w:rsidR="003A5C85" w:rsidRDefault="00B717F6" w:rsidP="0073043E">
      <w:pPr>
        <w:pStyle w:val="AuthorAffiliation"/>
      </w:pPr>
      <w:r w:rsidRPr="00075EA6">
        <w:rPr>
          <w:szCs w:val="28"/>
          <w:vertAlign w:val="superscript"/>
        </w:rPr>
        <w:t>b)</w:t>
      </w:r>
      <w:r w:rsidRPr="006061A3">
        <w:t xml:space="preserve"> </w:t>
      </w:r>
      <w:r w:rsidRPr="00075EA6">
        <w:t>Corresponding author</w:t>
      </w:r>
      <w:r w:rsidRPr="007A6312">
        <w:t xml:space="preserve">: </w:t>
      </w:r>
      <w:hyperlink r:id="rId9" w:history="1">
        <w:r w:rsidRPr="007A6312">
          <w:rPr>
            <w:rStyle w:val="Hyperlink"/>
            <w:color w:val="auto"/>
            <w:u w:val="none"/>
          </w:rPr>
          <w:t>uzma.jafar@mmu.edu.my</w:t>
        </w:r>
      </w:hyperlink>
      <w:r w:rsidR="00ED4A2C" w:rsidRPr="00075EA6">
        <w:br/>
      </w:r>
      <w:r w:rsidR="00003D7C" w:rsidRPr="00075EA6">
        <w:rPr>
          <w:szCs w:val="28"/>
          <w:vertAlign w:val="superscript"/>
        </w:rPr>
        <w:t>a)</w:t>
      </w:r>
      <w:r w:rsidR="00003D7C" w:rsidRPr="00075EA6">
        <w:t xml:space="preserve"> </w:t>
      </w:r>
      <w:r w:rsidR="006061A3">
        <w:t>1221302093@student.mmu.edu.my</w:t>
      </w:r>
    </w:p>
    <w:p w14:paraId="343B8C4A" w14:textId="65090DDD" w:rsidR="00C93BF3" w:rsidRPr="00075EA6" w:rsidRDefault="00C93BF3" w:rsidP="0073043E">
      <w:pPr>
        <w:pStyle w:val="AuthorAffiliation"/>
      </w:pPr>
      <w:r>
        <w:rPr>
          <w:szCs w:val="28"/>
          <w:vertAlign w:val="superscript"/>
        </w:rPr>
        <w:t>c</w:t>
      </w:r>
      <w:r w:rsidRPr="00075EA6">
        <w:rPr>
          <w:szCs w:val="28"/>
          <w:vertAlign w:val="superscript"/>
        </w:rPr>
        <w:t>)</w:t>
      </w:r>
      <w:r w:rsidRPr="006061A3">
        <w:t xml:space="preserve"> </w:t>
      </w:r>
      <w:r w:rsidRPr="00C93BF3">
        <w:t>hafiz.adnan@mmu.edu.my</w:t>
      </w:r>
    </w:p>
    <w:p w14:paraId="22C3F2A8" w14:textId="062785B5" w:rsidR="0016385D" w:rsidRPr="00075EA6" w:rsidRDefault="0016385D" w:rsidP="00D4166A">
      <w:pPr>
        <w:pStyle w:val="Abstract"/>
      </w:pPr>
      <w:r w:rsidRPr="00075EA6">
        <w:rPr>
          <w:b/>
          <w:bCs/>
        </w:rPr>
        <w:t>Abstract.</w:t>
      </w:r>
      <w:r w:rsidRPr="00075EA6">
        <w:t xml:space="preserve"> </w:t>
      </w:r>
      <w:r w:rsidR="00912E27" w:rsidRPr="00912E27">
        <w:t xml:space="preserve">Rising payment‑gateway fees erode merchant margins and make micro‑transactions impractical for online retail. This study presents </w:t>
      </w:r>
      <w:proofErr w:type="spellStart"/>
      <w:r w:rsidR="00912E27" w:rsidRPr="00912E27">
        <w:t>Ecochain</w:t>
      </w:r>
      <w:proofErr w:type="spellEnd"/>
      <w:r w:rsidR="00912E27" w:rsidRPr="00912E27">
        <w:t xml:space="preserve">, a Layer‑2, roll‑up‑enabled payment rail that batches e‑commerce orders off‑chain and settles them on Ethereum only once per block, thereby preserving security while </w:t>
      </w:r>
      <w:proofErr w:type="spellStart"/>
      <w:r w:rsidR="00912E27" w:rsidRPr="00912E27">
        <w:t>minimising</w:t>
      </w:r>
      <w:proofErr w:type="spellEnd"/>
      <w:r w:rsidR="00912E27" w:rsidRPr="00912E27">
        <w:t xml:space="preserve"> cost. A production‑grade gateway was integrated with Shopify and deployed on the Polygon </w:t>
      </w:r>
      <w:proofErr w:type="spellStart"/>
      <w:r w:rsidR="00912E27" w:rsidRPr="00912E27">
        <w:t>PoS</w:t>
      </w:r>
      <w:proofErr w:type="spellEnd"/>
      <w:r w:rsidR="00912E27" w:rsidRPr="00912E27">
        <w:t xml:space="preserve"> network. Under a 10</w:t>
      </w:r>
      <w:r w:rsidR="001E346B">
        <w:t>,000-</w:t>
      </w:r>
      <w:r w:rsidR="00912E27" w:rsidRPr="00912E27">
        <w:t xml:space="preserve">checkout stress test, </w:t>
      </w:r>
      <w:proofErr w:type="spellStart"/>
      <w:r w:rsidR="00912E27" w:rsidRPr="00912E27">
        <w:t>Ecochain</w:t>
      </w:r>
      <w:proofErr w:type="spellEnd"/>
      <w:r w:rsidR="00912E27" w:rsidRPr="00912E27">
        <w:t xml:space="preserve"> sustained 170 transactions ⁻</w:t>
      </w:r>
      <w:r w:rsidR="001E346B">
        <w:t>s</w:t>
      </w:r>
      <w:r w:rsidR="00912E27" w:rsidRPr="00912E27">
        <w:t>¹ on a single validator node and reduced the end‑to‑end settlement cost from USD 2.87 ± 0.14 on Ethereum main‑net to USD 0.021 ± 0.003 on Polygon</w:t>
      </w:r>
      <w:r w:rsidR="001E346B">
        <w:t xml:space="preserve"> </w:t>
      </w:r>
      <w:r w:rsidR="00912E27" w:rsidRPr="00912E27">
        <w:t>a 99.3 % reduction</w:t>
      </w:r>
      <w:r w:rsidR="001E346B">
        <w:t xml:space="preserve"> </w:t>
      </w:r>
      <w:r w:rsidR="00912E27" w:rsidRPr="00912E27">
        <w:t xml:space="preserve">with a median confirmation latency of 2.3 s. For a typical USD 50 basket, the total checkout fee falls from 3.1 % (Stripe card: 2.9 % + USD 0.30) to 0.12 %, and the system breaks even against traditional gateways at just USD 1.00. These results show that Layer‑2 </w:t>
      </w:r>
      <w:proofErr w:type="spellStart"/>
      <w:r w:rsidR="00912E27" w:rsidRPr="00912E27">
        <w:t>cryptopayments</w:t>
      </w:r>
      <w:proofErr w:type="spellEnd"/>
      <w:r w:rsidR="00912E27" w:rsidRPr="00912E27">
        <w:t xml:space="preserve"> can satisfy the cost and latency requirements of mainstream e‑commerce</w:t>
      </w:r>
      <w:r w:rsidR="00D4166A" w:rsidRPr="25AC9E96">
        <w:t>.</w:t>
      </w:r>
    </w:p>
    <w:p w14:paraId="5240E3FB" w14:textId="59D0157D" w:rsidR="003A287B" w:rsidRPr="00075EA6" w:rsidRDefault="00D4166A" w:rsidP="00003D7C">
      <w:pPr>
        <w:pStyle w:val="Heading1"/>
        <w:rPr>
          <w:b w:val="0"/>
          <w:caps w:val="0"/>
          <w:sz w:val="20"/>
        </w:rPr>
      </w:pPr>
      <w:r>
        <w:t>iNTRODUCTION</w:t>
      </w:r>
    </w:p>
    <w:p w14:paraId="4697DD15" w14:textId="698B5542" w:rsidR="00A10CAC" w:rsidRPr="00A10CAC" w:rsidRDefault="00A10CAC" w:rsidP="006B1B5A">
      <w:pPr>
        <w:ind w:firstLine="288"/>
        <w:jc w:val="both"/>
        <w:rPr>
          <w:sz w:val="20"/>
        </w:rPr>
      </w:pPr>
      <w:bookmarkStart w:id="0" w:name="_Hlk196497710"/>
      <w:r w:rsidRPr="00A10CAC">
        <w:rPr>
          <w:sz w:val="20"/>
        </w:rPr>
        <w:t xml:space="preserve">Blockchain technology has emerged as a compelling alternative to traditional payment rails, offering programmable trust, global reach, and near‑instant settlement. Yet, its adoption in mainstream e‑commerce remains limited because Layer‑1 (L1) transaction fees and confirmation delays scale poorly for the small‑ticket, high‑volume checkouts that dominate online retail. A single Ethereum transfer can exceed USD 2–3 during network </w:t>
      </w:r>
      <w:r w:rsidR="00BD4024">
        <w:rPr>
          <w:sz w:val="20"/>
        </w:rPr>
        <w:t xml:space="preserve">congestion, </w:t>
      </w:r>
      <w:r w:rsidRPr="00A10CAC">
        <w:rPr>
          <w:sz w:val="20"/>
        </w:rPr>
        <w:t>a cost that dwarfs the thin margins of many merchants and renders micro‑transactions (&gt; USD 5) unviable</w:t>
      </w:r>
      <w:r w:rsidR="00E44A60">
        <w:rPr>
          <w:sz w:val="20"/>
        </w:rPr>
        <w:t xml:space="preserve"> </w:t>
      </w:r>
      <w:r w:rsidR="00E44A60">
        <w:rPr>
          <w:sz w:val="20"/>
        </w:rPr>
        <w:fldChar w:fldCharType="begin"/>
      </w:r>
      <w:r w:rsidR="00E8193D">
        <w:rPr>
          <w:sz w:val="20"/>
        </w:rPr>
        <w:instrText xml:space="preserve"> ADDIN EN.CITE &lt;EndNote&gt;&lt;Cite&gt;&lt;Author&gt;Donmez&lt;/Author&gt;&lt;Year&gt;2022&lt;/Year&gt;&lt;RecNum&gt;196&lt;/RecNum&gt;&lt;DisplayText&gt;[1]&lt;/DisplayText&gt;&lt;record&gt;&lt;rec-number&gt;196&lt;/rec-number&gt;&lt;foreign-keys&gt;&lt;key app="EN" db-id="xvtee90rp5v9toefwervx5ar0wf9pfs9v9ed" timestamp="1746500815" guid="1c8ddaee-9707-4aa8-b3c2-a0078baefcb4"&gt;196&lt;/key&gt;&lt;/foreign-keys&gt;&lt;ref-type name="Journal Article"&gt;17&lt;/ref-type&gt;&lt;contributors&gt;&lt;authors&gt;&lt;author&gt;Donmez, Anil&lt;/author&gt;&lt;author&gt;Karaivanov, Alexander&lt;/author&gt;&lt;/authors&gt;&lt;/contributors&gt;&lt;titles&gt;&lt;title&gt;Transaction fee economics in the Ethereum blockchain&lt;/title&gt;&lt;secondary-title&gt;Economic Inquiry&lt;/secondary-title&gt;&lt;/titles&gt;&lt;periodical&gt;&lt;full-title&gt;Economic Inquiry&lt;/full-title&gt;&lt;/periodical&gt;&lt;pages&gt;265-292&lt;/pages&gt;&lt;volume&gt;60&lt;/volume&gt;&lt;number&gt;1&lt;/number&gt;&lt;dates&gt;&lt;year&gt;2022&lt;/year&gt;&lt;/dates&gt;&lt;isbn&gt;0095-2583&lt;/isbn&gt;&lt;urls&gt;&lt;/urls&gt;&lt;/record&gt;&lt;/Cite&gt;&lt;/EndNote&gt;</w:instrText>
      </w:r>
      <w:r w:rsidR="00E44A60">
        <w:rPr>
          <w:sz w:val="20"/>
        </w:rPr>
        <w:fldChar w:fldCharType="separate"/>
      </w:r>
      <w:r w:rsidR="00E44A60">
        <w:rPr>
          <w:noProof/>
          <w:sz w:val="20"/>
        </w:rPr>
        <w:t>[1]</w:t>
      </w:r>
      <w:r w:rsidR="00E44A60">
        <w:rPr>
          <w:sz w:val="20"/>
        </w:rPr>
        <w:fldChar w:fldCharType="end"/>
      </w:r>
      <w:r w:rsidRPr="00A10CAC">
        <w:rPr>
          <w:sz w:val="20"/>
        </w:rPr>
        <w:t>.</w:t>
      </w:r>
      <w:r w:rsidR="00F97878">
        <w:rPr>
          <w:sz w:val="20"/>
        </w:rPr>
        <w:t xml:space="preserve"> </w:t>
      </w:r>
      <w:r w:rsidRPr="00A10CAC">
        <w:rPr>
          <w:sz w:val="20"/>
        </w:rPr>
        <w:t xml:space="preserve">Early attempts to build </w:t>
      </w:r>
      <w:proofErr w:type="spellStart"/>
      <w:r w:rsidRPr="00A10CAC">
        <w:rPr>
          <w:sz w:val="20"/>
        </w:rPr>
        <w:t>decentralised</w:t>
      </w:r>
      <w:proofErr w:type="spellEnd"/>
      <w:r w:rsidRPr="00A10CAC">
        <w:rPr>
          <w:sz w:val="20"/>
        </w:rPr>
        <w:t xml:space="preserve"> marketplaces such as </w:t>
      </w:r>
      <w:proofErr w:type="spellStart"/>
      <w:r w:rsidRPr="00A10CAC">
        <w:rPr>
          <w:sz w:val="20"/>
        </w:rPr>
        <w:t>OpenBazaar</w:t>
      </w:r>
      <w:proofErr w:type="spellEnd"/>
      <w:r w:rsidRPr="00A10CAC">
        <w:rPr>
          <w:sz w:val="20"/>
        </w:rPr>
        <w:t xml:space="preserve"> demonstrated technical feasibility</w:t>
      </w:r>
      <w:r w:rsidR="00BD4024">
        <w:rPr>
          <w:sz w:val="20"/>
        </w:rPr>
        <w:t>. Still,</w:t>
      </w:r>
      <w:r w:rsidRPr="00A10CAC">
        <w:rPr>
          <w:sz w:val="20"/>
        </w:rPr>
        <w:t xml:space="preserve"> </w:t>
      </w:r>
      <w:r w:rsidR="00BD4024">
        <w:rPr>
          <w:sz w:val="20"/>
        </w:rPr>
        <w:t>they</w:t>
      </w:r>
      <w:r w:rsidRPr="00A10CAC">
        <w:rPr>
          <w:sz w:val="20"/>
        </w:rPr>
        <w:t xml:space="preserve"> failed to gain traction </w:t>
      </w:r>
      <w:r w:rsidR="004133DD">
        <w:rPr>
          <w:sz w:val="20"/>
        </w:rPr>
        <w:t>primari</w:t>
      </w:r>
      <w:r w:rsidRPr="00A10CAC">
        <w:rPr>
          <w:sz w:val="20"/>
        </w:rPr>
        <w:t>ly due to these cost and latency barriers a</w:t>
      </w:r>
      <w:r w:rsidR="00BD4024">
        <w:rPr>
          <w:sz w:val="20"/>
        </w:rPr>
        <w:t>nd</w:t>
      </w:r>
      <w:r w:rsidRPr="00A10CAC">
        <w:rPr>
          <w:sz w:val="20"/>
        </w:rPr>
        <w:t xml:space="preserve"> user</w:t>
      </w:r>
      <w:r w:rsidR="00BD4024">
        <w:rPr>
          <w:sz w:val="20"/>
        </w:rPr>
        <w:t xml:space="preserve"> </w:t>
      </w:r>
      <w:r w:rsidRPr="00A10CAC">
        <w:rPr>
          <w:sz w:val="20"/>
        </w:rPr>
        <w:t xml:space="preserve">experience (UX) gaps in wallet management. Payment‑service providers (PSPs) like Stripe have introduced crypto on‑ramps, yet they </w:t>
      </w:r>
      <w:r w:rsidR="004133DD">
        <w:rPr>
          <w:sz w:val="20"/>
        </w:rPr>
        <w:t>essential</w:t>
      </w:r>
      <w:r w:rsidRPr="00A10CAC">
        <w:rPr>
          <w:sz w:val="20"/>
        </w:rPr>
        <w:t>ly replicate the fee structures of card networks (≈ 2.9 % + USD 0.30), offering little relief to merchants</w:t>
      </w:r>
      <w:r w:rsidR="004133DD">
        <w:rPr>
          <w:sz w:val="20"/>
        </w:rPr>
        <w:t xml:space="preserve"> </w:t>
      </w:r>
      <w:r w:rsidR="004133DD">
        <w:rPr>
          <w:sz w:val="20"/>
        </w:rPr>
        <w:fldChar w:fldCharType="begin"/>
      </w:r>
      <w:r w:rsidR="00E8193D">
        <w:rPr>
          <w:sz w:val="20"/>
        </w:rPr>
        <w:instrText xml:space="preserve"> ADDIN EN.CITE &lt;EndNote&gt;&lt;Cite&gt;&lt;Author&gt;Yoon&lt;/Author&gt;&lt;Year&gt;2025&lt;/Year&gt;&lt;RecNum&gt;197&lt;/RecNum&gt;&lt;DisplayText&gt;[2]&lt;/DisplayText&gt;&lt;record&gt;&lt;rec-number&gt;197&lt;/rec-number&gt;&lt;foreign-keys&gt;&lt;key app="EN" db-id="xvtee90rp5v9toefwervx5ar0wf9pfs9v9ed" timestamp="1746500991" guid="6baf83c1-6407-4c6d-85c7-5aad6f0e9973"&gt;197&lt;/key&gt;&lt;/foreign-keys&gt;&lt;ref-type name="Journal Article"&gt;17&lt;/ref-type&gt;&lt;contributors&gt;&lt;authors&gt;&lt;author&gt;Yoon, Jaeho&lt;/author&gt;&lt;author&gt;Kim, Yongmin&lt;/author&gt;&lt;/authors&gt;&lt;/contributors&gt;&lt;titles&gt;&lt;title&gt;Offline Payment of Central Bank Digital Currency Based on a Trusted Platform Module&lt;/title&gt;&lt;secondary-title&gt;Journal of Cybersecurity and Privacy&lt;/secondary-title&gt;&lt;/titles&gt;&lt;periodical&gt;&lt;full-title&gt;Journal of Cybersecurity and Privacy&lt;/full-title&gt;&lt;/periodical&gt;&lt;pages&gt;14&lt;/pages&gt;&lt;volume&gt;5&lt;/volume&gt;&lt;number&gt;2&lt;/number&gt;&lt;dates&gt;&lt;year&gt;2025&lt;/year&gt;&lt;/dates&gt;&lt;isbn&gt;2624-800X&lt;/isbn&gt;&lt;urls&gt;&lt;/urls&gt;&lt;/record&gt;&lt;/Cite&gt;&lt;/EndNote&gt;</w:instrText>
      </w:r>
      <w:r w:rsidR="004133DD">
        <w:rPr>
          <w:sz w:val="20"/>
        </w:rPr>
        <w:fldChar w:fldCharType="separate"/>
      </w:r>
      <w:r w:rsidR="004133DD">
        <w:rPr>
          <w:noProof/>
          <w:sz w:val="20"/>
        </w:rPr>
        <w:t>[2]</w:t>
      </w:r>
      <w:r w:rsidR="004133DD">
        <w:rPr>
          <w:sz w:val="20"/>
        </w:rPr>
        <w:fldChar w:fldCharType="end"/>
      </w:r>
      <w:r w:rsidRPr="00A10CAC">
        <w:rPr>
          <w:sz w:val="20"/>
        </w:rPr>
        <w:t xml:space="preserve">. Consequently, a clear research gap persists: how can we leverage blockchain’s trust guarantees while matching or undercutting </w:t>
      </w:r>
      <w:r w:rsidR="004133DD">
        <w:rPr>
          <w:sz w:val="20"/>
        </w:rPr>
        <w:t>conventional gateways’</w:t>
      </w:r>
      <w:r w:rsidRPr="00A10CAC">
        <w:rPr>
          <w:sz w:val="20"/>
        </w:rPr>
        <w:t xml:space="preserve"> cost and UX benchmarks</w:t>
      </w:r>
      <w:r w:rsidR="004133DD">
        <w:rPr>
          <w:sz w:val="20"/>
        </w:rPr>
        <w:t>?</w:t>
      </w:r>
      <w:r w:rsidR="00F97878">
        <w:rPr>
          <w:sz w:val="20"/>
        </w:rPr>
        <w:t xml:space="preserve"> </w:t>
      </w:r>
      <w:r w:rsidRPr="00A10CAC">
        <w:rPr>
          <w:sz w:val="20"/>
        </w:rPr>
        <w:t>Recent advances in Layer‑2 (L2) scaling technologies</w:t>
      </w:r>
      <w:r w:rsidR="00BD4024">
        <w:rPr>
          <w:sz w:val="20"/>
        </w:rPr>
        <w:t xml:space="preserve"> </w:t>
      </w:r>
      <w:r w:rsidRPr="00A10CAC">
        <w:rPr>
          <w:sz w:val="20"/>
        </w:rPr>
        <w:t>provide a new design space</w:t>
      </w:r>
      <w:r w:rsidR="005F2FEB">
        <w:rPr>
          <w:sz w:val="20"/>
        </w:rPr>
        <w:t>, particularly roll-ups</w:t>
      </w:r>
      <w:r w:rsidRPr="00A10CAC">
        <w:rPr>
          <w:sz w:val="20"/>
        </w:rPr>
        <w:t xml:space="preserve">. By aggregating thousands of off‑chain transactions into a single L1 proof, roll‑ups </w:t>
      </w:r>
      <w:proofErr w:type="spellStart"/>
      <w:r w:rsidRPr="00A10CAC">
        <w:rPr>
          <w:sz w:val="20"/>
        </w:rPr>
        <w:t>amortise</w:t>
      </w:r>
      <w:proofErr w:type="spellEnd"/>
      <w:r w:rsidRPr="00A10CAC">
        <w:rPr>
          <w:sz w:val="20"/>
        </w:rPr>
        <w:t xml:space="preserve"> gas costs, enabling sub‑cent fees without compromising security</w:t>
      </w:r>
      <w:r w:rsidR="005F2FEB">
        <w:rPr>
          <w:sz w:val="20"/>
        </w:rPr>
        <w:t xml:space="preserve"> </w:t>
      </w:r>
      <w:r w:rsidR="005F2FEB">
        <w:rPr>
          <w:sz w:val="20"/>
        </w:rPr>
        <w:fldChar w:fldCharType="begin"/>
      </w:r>
      <w:r w:rsidR="00E8193D">
        <w:rPr>
          <w:sz w:val="20"/>
        </w:rPr>
        <w:instrText xml:space="preserve"> ADDIN EN.CITE &lt;EndNote&gt;&lt;Cite&gt;&lt;Author&gt;Song&lt;/Author&gt;&lt;Year&gt;2024&lt;/Year&gt;&lt;RecNum&gt;198&lt;/RecNum&gt;&lt;DisplayText&gt;[3]&lt;/DisplayText&gt;&lt;record&gt;&lt;rec-number&gt;198&lt;/rec-number&gt;&lt;foreign-keys&gt;&lt;key app="EN" db-id="xvtee90rp5v9toefwervx5ar0wf9pfs9v9ed" timestamp="1746501078" guid="9d4a4867-8a6b-4f6c-8e38-03f12e0228c2"&gt;198&lt;/key&gt;&lt;/foreign-keys&gt;&lt;ref-type name="Conference Proceedings"&gt;10&lt;/ref-type&gt;&lt;contributors&gt;&lt;authors&gt;&lt;author&gt;Song, Han&lt;/author&gt;&lt;author&gt;Qu, Zhongche&lt;/author&gt;&lt;author&gt;Wei, Yihao&lt;/author&gt;&lt;/authors&gt;&lt;/contributors&gt;&lt;titles&gt;&lt;title&gt;Advancing blockchain scalability: An introduction to layer 1 and layer 2 solutions&lt;/title&gt;&lt;secondary-title&gt;2024 IEEE 2nd International Conference on Sensors, Electronics and Computer Engineering (ICSECE)&lt;/secondary-title&gt;&lt;/titles&gt;&lt;pages&gt;71-76&lt;/pages&gt;&lt;dates&gt;&lt;year&gt;2024&lt;/year&gt;&lt;/dates&gt;&lt;publisher&gt;IEEE&lt;/publisher&gt;&lt;isbn&gt;9798350373646&lt;/isbn&gt;&lt;urls&gt;&lt;/urls&gt;&lt;/record&gt;&lt;/Cite&gt;&lt;/EndNote&gt;</w:instrText>
      </w:r>
      <w:r w:rsidR="005F2FEB">
        <w:rPr>
          <w:sz w:val="20"/>
        </w:rPr>
        <w:fldChar w:fldCharType="separate"/>
      </w:r>
      <w:r w:rsidR="005F2FEB">
        <w:rPr>
          <w:noProof/>
          <w:sz w:val="20"/>
        </w:rPr>
        <w:t>[3]</w:t>
      </w:r>
      <w:r w:rsidR="005F2FEB">
        <w:rPr>
          <w:sz w:val="20"/>
        </w:rPr>
        <w:fldChar w:fldCharType="end"/>
      </w:r>
      <w:r w:rsidRPr="00A10CAC">
        <w:rPr>
          <w:sz w:val="20"/>
        </w:rPr>
        <w:t>. However, empirical evaluations of L2 payments in real e‑commerce settings are scarce, and questions remain about performance on commodity infrastructure, compliance with payment‑card industry (PCI) norms, and integration effort with existing storefronts.</w:t>
      </w:r>
    </w:p>
    <w:p w14:paraId="3C39CBC5" w14:textId="1AD55F91" w:rsidR="00A10CAC" w:rsidRPr="00A10CAC" w:rsidRDefault="00A10CAC" w:rsidP="006B1B5A">
      <w:pPr>
        <w:ind w:firstLine="288"/>
        <w:jc w:val="both"/>
        <w:rPr>
          <w:sz w:val="20"/>
        </w:rPr>
      </w:pPr>
      <w:r w:rsidRPr="00A10CAC">
        <w:rPr>
          <w:sz w:val="20"/>
        </w:rPr>
        <w:t xml:space="preserve">This study addresses these gaps through the design and evaluation of </w:t>
      </w:r>
      <w:proofErr w:type="spellStart"/>
      <w:r w:rsidRPr="00A10CAC">
        <w:rPr>
          <w:sz w:val="20"/>
        </w:rPr>
        <w:t>Ecochain</w:t>
      </w:r>
      <w:proofErr w:type="spellEnd"/>
      <w:r w:rsidRPr="00A10CAC">
        <w:rPr>
          <w:sz w:val="20"/>
        </w:rPr>
        <w:t>, an L2‑based payment gateway integrated with Shopify. We pursue the following research questions (RQs):</w:t>
      </w:r>
    </w:p>
    <w:p w14:paraId="2B02E2AA" w14:textId="4F2C97B8" w:rsidR="00A10CAC" w:rsidRPr="001A07A9" w:rsidRDefault="00A10CAC" w:rsidP="006B1B5A">
      <w:pPr>
        <w:pStyle w:val="ListParagraph"/>
        <w:numPr>
          <w:ilvl w:val="0"/>
          <w:numId w:val="23"/>
        </w:numPr>
        <w:jc w:val="both"/>
        <w:rPr>
          <w:sz w:val="20"/>
        </w:rPr>
      </w:pPr>
      <w:r w:rsidRPr="001A07A9">
        <w:rPr>
          <w:b/>
          <w:bCs/>
          <w:sz w:val="20"/>
        </w:rPr>
        <w:t>RQ1:</w:t>
      </w:r>
      <w:r w:rsidRPr="001A07A9">
        <w:rPr>
          <w:sz w:val="20"/>
        </w:rPr>
        <w:t xml:space="preserve"> Can a roll‑up‑enabled gateway reduce the total checkout cost below 2 %</w:t>
      </w:r>
      <w:r w:rsidR="001A07A9">
        <w:rPr>
          <w:sz w:val="20"/>
        </w:rPr>
        <w:t xml:space="preserve"> </w:t>
      </w:r>
      <w:r w:rsidRPr="001A07A9">
        <w:rPr>
          <w:sz w:val="20"/>
        </w:rPr>
        <w:t>and preferably below 0.5 %</w:t>
      </w:r>
      <w:r w:rsidR="001A07A9">
        <w:rPr>
          <w:sz w:val="20"/>
        </w:rPr>
        <w:t xml:space="preserve"> </w:t>
      </w:r>
      <w:r w:rsidRPr="001A07A9">
        <w:rPr>
          <w:sz w:val="20"/>
        </w:rPr>
        <w:t>for baskets as small as USD 1?</w:t>
      </w:r>
    </w:p>
    <w:p w14:paraId="2A3AB261" w14:textId="609C16D9" w:rsidR="00A10CAC" w:rsidRPr="001A07A9" w:rsidRDefault="00A10CAC" w:rsidP="006B1B5A">
      <w:pPr>
        <w:pStyle w:val="ListParagraph"/>
        <w:numPr>
          <w:ilvl w:val="0"/>
          <w:numId w:val="23"/>
        </w:numPr>
        <w:jc w:val="both"/>
        <w:rPr>
          <w:sz w:val="20"/>
        </w:rPr>
      </w:pPr>
      <w:r w:rsidRPr="001A07A9">
        <w:rPr>
          <w:b/>
          <w:bCs/>
          <w:sz w:val="20"/>
        </w:rPr>
        <w:t>RQ2:</w:t>
      </w:r>
      <w:r w:rsidRPr="001A07A9">
        <w:rPr>
          <w:sz w:val="20"/>
        </w:rPr>
        <w:t xml:space="preserve"> What transaction‑per‑second (TPS) throughput and confirmation latency are attainable on low‑cost cloud instances (&lt; USD 50 </w:t>
      </w:r>
      <w:r w:rsidR="00875388">
        <w:rPr>
          <w:sz w:val="20"/>
        </w:rPr>
        <w:t xml:space="preserve">per </w:t>
      </w:r>
      <w:r w:rsidRPr="001A07A9">
        <w:rPr>
          <w:sz w:val="20"/>
        </w:rPr>
        <w:t>month)?</w:t>
      </w:r>
    </w:p>
    <w:p w14:paraId="28DA0117" w14:textId="77777777" w:rsidR="00A10CAC" w:rsidRPr="001A07A9" w:rsidRDefault="00A10CAC" w:rsidP="006B1B5A">
      <w:pPr>
        <w:pStyle w:val="ListParagraph"/>
        <w:numPr>
          <w:ilvl w:val="0"/>
          <w:numId w:val="23"/>
        </w:numPr>
        <w:jc w:val="both"/>
        <w:rPr>
          <w:sz w:val="20"/>
        </w:rPr>
      </w:pPr>
      <w:r w:rsidRPr="001A07A9">
        <w:rPr>
          <w:b/>
          <w:bCs/>
          <w:sz w:val="20"/>
        </w:rPr>
        <w:t>RQ3:</w:t>
      </w:r>
      <w:r w:rsidRPr="001A07A9">
        <w:rPr>
          <w:sz w:val="20"/>
        </w:rPr>
        <w:t xml:space="preserve"> How does the security posture of the proposed design compare with incumbent card networks and custodial PSPs?</w:t>
      </w:r>
    </w:p>
    <w:p w14:paraId="4F080397" w14:textId="46AF2701" w:rsidR="00D4166A" w:rsidRDefault="00A10CAC" w:rsidP="006B1B5A">
      <w:pPr>
        <w:ind w:firstLine="288"/>
        <w:jc w:val="both"/>
        <w:rPr>
          <w:sz w:val="20"/>
        </w:rPr>
      </w:pPr>
      <w:r w:rsidRPr="00A10CAC">
        <w:rPr>
          <w:sz w:val="20"/>
        </w:rPr>
        <w:t>To answer these questions</w:t>
      </w:r>
      <w:r w:rsidR="009A2B86">
        <w:rPr>
          <w:sz w:val="20"/>
        </w:rPr>
        <w:t>,</w:t>
      </w:r>
      <w:r w:rsidRPr="00A10CAC">
        <w:rPr>
          <w:sz w:val="20"/>
        </w:rPr>
        <w:t xml:space="preserve"> we implement </w:t>
      </w:r>
      <w:proofErr w:type="spellStart"/>
      <w:r w:rsidRPr="00A10CAC">
        <w:rPr>
          <w:sz w:val="20"/>
        </w:rPr>
        <w:t>Ecochain</w:t>
      </w:r>
      <w:proofErr w:type="spellEnd"/>
      <w:r w:rsidRPr="00A10CAC">
        <w:rPr>
          <w:sz w:val="20"/>
        </w:rPr>
        <w:t xml:space="preserve"> on the Polygon Proof‑of‑Stake network, conduct a 10</w:t>
      </w:r>
      <w:r w:rsidR="009A2B86">
        <w:rPr>
          <w:sz w:val="20"/>
        </w:rPr>
        <w:t>,000-</w:t>
      </w:r>
      <w:r w:rsidRPr="00A10CAC">
        <w:rPr>
          <w:sz w:val="20"/>
        </w:rPr>
        <w:t xml:space="preserve">order stress test, and perform a security audit using Slither and </w:t>
      </w:r>
      <w:proofErr w:type="spellStart"/>
      <w:r w:rsidRPr="00A10CAC">
        <w:rPr>
          <w:sz w:val="20"/>
        </w:rPr>
        <w:t>MythX</w:t>
      </w:r>
      <w:proofErr w:type="spellEnd"/>
      <w:r w:rsidRPr="00A10CAC">
        <w:rPr>
          <w:sz w:val="20"/>
        </w:rPr>
        <w:t xml:space="preserve">. Our results indicate a 99 % reduction in settlement cost and sub‑three‑second median latency, suggesting that L2 </w:t>
      </w:r>
      <w:proofErr w:type="spellStart"/>
      <w:r w:rsidRPr="00A10CAC">
        <w:rPr>
          <w:sz w:val="20"/>
        </w:rPr>
        <w:t>cryptopayments</w:t>
      </w:r>
      <w:proofErr w:type="spellEnd"/>
      <w:r w:rsidRPr="00A10CAC">
        <w:rPr>
          <w:sz w:val="20"/>
        </w:rPr>
        <w:t xml:space="preserve"> can meet, and </w:t>
      </w:r>
      <w:r w:rsidR="009A2B86">
        <w:rPr>
          <w:sz w:val="20"/>
        </w:rPr>
        <w:t>often</w:t>
      </w:r>
      <w:r w:rsidRPr="00A10CAC">
        <w:rPr>
          <w:sz w:val="20"/>
        </w:rPr>
        <w:t xml:space="preserve"> exceed, </w:t>
      </w:r>
      <w:r w:rsidRPr="00A10CAC">
        <w:rPr>
          <w:sz w:val="20"/>
        </w:rPr>
        <w:lastRenderedPageBreak/>
        <w:t>the economic and performance thresholds required for mass‑market adoption.</w:t>
      </w:r>
      <w:r w:rsidR="005B21D0">
        <w:rPr>
          <w:sz w:val="20"/>
        </w:rPr>
        <w:t xml:space="preserve"> </w:t>
      </w:r>
      <w:r w:rsidRPr="00A10CAC">
        <w:rPr>
          <w:sz w:val="20"/>
        </w:rPr>
        <w:t xml:space="preserve">The remainder of this paper is </w:t>
      </w:r>
      <w:proofErr w:type="spellStart"/>
      <w:r w:rsidRPr="00A10CAC">
        <w:rPr>
          <w:sz w:val="20"/>
        </w:rPr>
        <w:t>organised</w:t>
      </w:r>
      <w:proofErr w:type="spellEnd"/>
      <w:r w:rsidRPr="00A10CAC">
        <w:rPr>
          <w:sz w:val="20"/>
        </w:rPr>
        <w:t xml:space="preserve"> as follows: Section 2 surveys related work on blockchain payment systems and L2 scaling. Section 3 details </w:t>
      </w:r>
      <w:proofErr w:type="spellStart"/>
      <w:r w:rsidRPr="00A10CAC">
        <w:rPr>
          <w:sz w:val="20"/>
        </w:rPr>
        <w:t>Ecochain’s</w:t>
      </w:r>
      <w:proofErr w:type="spellEnd"/>
      <w:r w:rsidRPr="00A10CAC">
        <w:rPr>
          <w:sz w:val="20"/>
        </w:rPr>
        <w:t xml:space="preserve"> architecture and smart‑contract design. Section 4 describes the experimental setup and security‑audit methodology. Section 5 presents quantitative results and comparative analysis. Section 6 discusses regulatory and UX implications, limitations, and future work, and Section 7 concludes.</w:t>
      </w:r>
    </w:p>
    <w:p w14:paraId="44A9AB50" w14:textId="52DF572E" w:rsidR="00D4166A" w:rsidRDefault="00D4166A" w:rsidP="00D4166A">
      <w:pPr>
        <w:pStyle w:val="Heading1"/>
      </w:pPr>
      <w:r>
        <w:t>lITERATURE rEVIEW</w:t>
      </w:r>
    </w:p>
    <w:p w14:paraId="723D4D97" w14:textId="0D260788" w:rsidR="00D4166A" w:rsidRDefault="00F212F0" w:rsidP="00D4166A">
      <w:pPr>
        <w:pStyle w:val="Heading2"/>
      </w:pPr>
      <w:r w:rsidRPr="00F212F0">
        <w:t>Traditional Payment Gateways and Their Cost Structure</w:t>
      </w:r>
    </w:p>
    <w:p w14:paraId="675EBB28" w14:textId="184292CF" w:rsidR="00D4166A" w:rsidRDefault="00863B0F" w:rsidP="006B1B5A">
      <w:pPr>
        <w:pStyle w:val="BodyText"/>
        <w:spacing w:after="0" w:line="240" w:lineRule="auto"/>
        <w:rPr>
          <w:lang w:val="en-GB"/>
        </w:rPr>
      </w:pPr>
      <w:r w:rsidRPr="00863B0F">
        <w:rPr>
          <w:lang w:val="en-GB"/>
        </w:rPr>
        <w:t>Card‑network‑based gateways such as Stripe, PayPal, and Authorize.Net remain the de‑facto standard for online checkout</w:t>
      </w:r>
      <w:r w:rsidR="000A04C2">
        <w:rPr>
          <w:lang w:val="en-GB"/>
        </w:rPr>
        <w:t xml:space="preserve"> shown in </w:t>
      </w:r>
      <w:r w:rsidR="000A04C2" w:rsidRPr="000A04C2">
        <w:rPr>
          <w:lang w:val="en-GB"/>
        </w:rPr>
        <w:fldChar w:fldCharType="begin"/>
      </w:r>
      <w:r w:rsidR="000A04C2" w:rsidRPr="000A04C2">
        <w:rPr>
          <w:lang w:val="en-GB"/>
        </w:rPr>
        <w:instrText xml:space="preserve"> REF _Ref197868229 \h  \* MERGEFORMAT </w:instrText>
      </w:r>
      <w:r w:rsidR="000A04C2" w:rsidRPr="000A04C2">
        <w:rPr>
          <w:lang w:val="en-GB"/>
        </w:rPr>
      </w:r>
      <w:r w:rsidR="000A04C2" w:rsidRPr="000A04C2">
        <w:rPr>
          <w:lang w:val="en-GB"/>
        </w:rPr>
        <w:fldChar w:fldCharType="separate"/>
      </w:r>
      <w:r w:rsidR="005B631B" w:rsidRPr="005B631B">
        <w:rPr>
          <w:noProof/>
        </w:rPr>
        <w:t>FIGURE 1</w:t>
      </w:r>
      <w:r w:rsidR="000A04C2" w:rsidRPr="000A04C2">
        <w:rPr>
          <w:lang w:val="en-GB"/>
        </w:rPr>
        <w:fldChar w:fldCharType="end"/>
      </w:r>
      <w:r w:rsidRPr="000A04C2">
        <w:rPr>
          <w:lang w:val="en-GB"/>
        </w:rPr>
        <w:t>.</w:t>
      </w:r>
      <w:r w:rsidRPr="00863B0F">
        <w:rPr>
          <w:lang w:val="en-GB"/>
        </w:rPr>
        <w:t xml:space="preserve"> Studies by </w:t>
      </w:r>
      <w:r w:rsidRPr="00E8193D">
        <w:rPr>
          <w:lang w:val="en-GB"/>
        </w:rPr>
        <w:t xml:space="preserve">Visa </w:t>
      </w:r>
      <w:r w:rsidR="00E8193D" w:rsidRPr="00E8193D">
        <w:rPr>
          <w:lang w:val="en-GB"/>
        </w:rPr>
        <w:fldChar w:fldCharType="begin"/>
      </w:r>
      <w:r w:rsidR="00E8193D" w:rsidRPr="00E8193D">
        <w:rPr>
          <w:lang w:val="en-GB"/>
        </w:rPr>
        <w:instrText xml:space="preserve"> ADDIN EN.CITE &lt;EndNote&gt;&lt;Cite&gt;&lt;Author&gt;Yang&lt;/Author&gt;&lt;Year&gt;2024&lt;/Year&gt;&lt;RecNum&gt;195&lt;/RecNum&gt;&lt;DisplayText&gt;[4]&lt;/DisplayText&gt;&lt;record&gt;&lt;rec-number&gt;195&lt;/rec-number&gt;&lt;foreign-keys&gt;&lt;key app="EN" db-id="xvtee90rp5v9toefwervx5ar0wf9pfs9v9ed" timestamp="1746500731" guid="d2ff8480-cff6-43dd-a75f-763f69e84f8f"&gt;195&lt;/key&gt;&lt;/foreign-keys&gt;&lt;ref-type name="Journal Article"&gt;17&lt;/ref-type&gt;&lt;contributors&gt;&lt;authors&gt;&lt;author&gt;Yang, Tiansheng&lt;/author&gt;&lt;author&gt;Peattie, Ken&lt;/author&gt;&lt;author&gt;Skeete, Jean-Paul&lt;/author&gt;&lt;author&gt;Koenig-Lewis, Nicole&lt;/author&gt;&lt;/authors&gt;&lt;/contributors&gt;&lt;titles&gt;&lt;title&gt;Navigating transitions: How electric vehicle sharing is shaping sustainable mobility in Chinese cities&lt;/title&gt;&lt;secondary-title&gt;Sustainability&lt;/secondary-title&gt;&lt;/titles&gt;&lt;periodical&gt;&lt;full-title&gt;Sustainability&lt;/full-title&gt;&lt;/periodical&gt;&lt;pages&gt;8364&lt;/pages&gt;&lt;volume&gt;16&lt;/volume&gt;&lt;number&gt;19&lt;/number&gt;&lt;dates&gt;&lt;year&gt;2024&lt;/year&gt;&lt;/dates&gt;&lt;isbn&gt;2071-1050&lt;/isbn&gt;&lt;urls&gt;&lt;/urls&gt;&lt;/record&gt;&lt;/Cite&gt;&lt;/EndNote&gt;</w:instrText>
      </w:r>
      <w:r w:rsidR="00E8193D" w:rsidRPr="00E8193D">
        <w:rPr>
          <w:lang w:val="en-GB"/>
        </w:rPr>
        <w:fldChar w:fldCharType="separate"/>
      </w:r>
      <w:r w:rsidR="00E8193D" w:rsidRPr="00E8193D">
        <w:rPr>
          <w:noProof/>
          <w:lang w:val="en-GB"/>
        </w:rPr>
        <w:t>[4]</w:t>
      </w:r>
      <w:r w:rsidR="00E8193D" w:rsidRPr="00E8193D">
        <w:rPr>
          <w:lang w:val="en-GB"/>
        </w:rPr>
        <w:fldChar w:fldCharType="end"/>
      </w:r>
      <w:r w:rsidRPr="00E8193D">
        <w:rPr>
          <w:lang w:val="en-GB"/>
        </w:rPr>
        <w:t xml:space="preserve"> and</w:t>
      </w:r>
      <w:r w:rsidR="00E8193D" w:rsidRPr="00E8193D">
        <w:rPr>
          <w:lang w:val="en-GB"/>
        </w:rPr>
        <w:t xml:space="preserve"> Bhat</w:t>
      </w:r>
      <w:r w:rsidRPr="00E8193D">
        <w:rPr>
          <w:lang w:val="en-GB"/>
        </w:rPr>
        <w:t> et al. </w:t>
      </w:r>
      <w:r w:rsidR="00E8193D" w:rsidRPr="00E8193D">
        <w:rPr>
          <w:lang w:val="en-GB"/>
        </w:rPr>
        <w:fldChar w:fldCharType="begin"/>
      </w:r>
      <w:r w:rsidR="009D4FDC">
        <w:rPr>
          <w:lang w:val="en-GB"/>
        </w:rPr>
        <w:instrText xml:space="preserve"> ADDIN EN.CITE &lt;EndNote&gt;&lt;Cite&gt;&lt;Author&gt;Bhat&lt;/Author&gt;&lt;Year&gt;2023&lt;/Year&gt;&lt;RecNum&gt;199&lt;/RecNum&gt;&lt;DisplayText&gt;[5]&lt;/DisplayText&gt;&lt;record&gt;&lt;rec-number&gt;199&lt;/rec-number&gt;&lt;foreign-keys&gt;&lt;key app="EN" db-id="xvtee90rp5v9toefwervx5ar0wf9pfs9v9ed" timestamp="1746501914" guid="b09d704d-d894-42fd-91c0-dcb1f55818d7"&gt;199&lt;/key&gt;&lt;/foreign-keys&gt;&lt;ref-type name="Journal Article"&gt;17&lt;/ref-type&gt;&lt;contributors&gt;&lt;authors&gt;&lt;author&gt;Bhat, Jagadeesha R&lt;/author&gt;&lt;author&gt;AlQahtani, Salman A&lt;/author&gt;&lt;author&gt;Nekovee, Maziar&lt;/author&gt;&lt;/authors&gt;&lt;/contributors&gt;&lt;titles&gt;&lt;title&gt;FinTech enablers, use cases, and role of future internet of things&lt;/title&gt;&lt;secondary-title&gt;Journal of King Saud University-Computer and Information Sciences&lt;/secondary-title&gt;&lt;/titles&gt;&lt;periodical&gt;&lt;full-title&gt;Journal of King Saud University-Computer and Information Sciences&lt;/full-title&gt;&lt;/periodical&gt;&lt;pages&gt;87-101&lt;/pages&gt;&lt;volume&gt;35&lt;/volume&gt;&lt;number&gt;1&lt;/number&gt;&lt;dates&gt;&lt;year&gt;2023&lt;/year&gt;&lt;/dates&gt;&lt;isbn&gt;1319-1578&lt;/isbn&gt;&lt;urls&gt;&lt;/urls&gt;&lt;/record&gt;&lt;/Cite&gt;&lt;/EndNote&gt;</w:instrText>
      </w:r>
      <w:r w:rsidR="00E8193D" w:rsidRPr="00E8193D">
        <w:rPr>
          <w:lang w:val="en-GB"/>
        </w:rPr>
        <w:fldChar w:fldCharType="separate"/>
      </w:r>
      <w:r w:rsidR="00E8193D" w:rsidRPr="00E8193D">
        <w:rPr>
          <w:noProof/>
          <w:lang w:val="en-GB"/>
        </w:rPr>
        <w:t>[5]</w:t>
      </w:r>
      <w:r w:rsidR="00E8193D" w:rsidRPr="00E8193D">
        <w:rPr>
          <w:lang w:val="en-GB"/>
        </w:rPr>
        <w:fldChar w:fldCharType="end"/>
      </w:r>
      <w:r w:rsidRPr="00863B0F">
        <w:rPr>
          <w:lang w:val="en-GB"/>
        </w:rPr>
        <w:t xml:space="preserve"> show average blended fees of 2.4</w:t>
      </w:r>
      <w:r>
        <w:rPr>
          <w:lang w:val="en-GB"/>
        </w:rPr>
        <w:t>-</w:t>
      </w:r>
      <w:r w:rsidRPr="00863B0F">
        <w:rPr>
          <w:lang w:val="en-GB"/>
        </w:rPr>
        <w:t>3.4 % plus a fixed component (USD 0.10</w:t>
      </w:r>
      <w:r>
        <w:rPr>
          <w:lang w:val="en-GB"/>
        </w:rPr>
        <w:t>-</w:t>
      </w:r>
      <w:r w:rsidRPr="00863B0F">
        <w:rPr>
          <w:lang w:val="en-GB"/>
        </w:rPr>
        <w:t>0.35) that disproportionately burdens low‑value baskets. While these works provide detailed fee breakdowns, they treat fees as exogenous and do not explore architectural alternatives capable of eliminating the intermediary rent.</w:t>
      </w:r>
      <w:r>
        <w:rPr>
          <w:lang w:val="en-GB"/>
        </w:rPr>
        <w:t xml:space="preserve"> </w:t>
      </w:r>
      <w:r w:rsidRPr="00863B0F">
        <w:rPr>
          <w:lang w:val="en-GB"/>
        </w:rPr>
        <w:t>Conventional PSP research quantifies the problem</w:t>
      </w:r>
      <w:r>
        <w:rPr>
          <w:lang w:val="en-GB"/>
        </w:rPr>
        <w:t xml:space="preserve"> </w:t>
      </w:r>
      <w:r w:rsidR="00A32710">
        <w:rPr>
          <w:lang w:val="en-GB"/>
        </w:rPr>
        <w:t xml:space="preserve">as a </w:t>
      </w:r>
      <w:r w:rsidRPr="00863B0F">
        <w:rPr>
          <w:lang w:val="en-GB"/>
        </w:rPr>
        <w:t xml:space="preserve">high percentage and fixed </w:t>
      </w:r>
      <w:r w:rsidR="00D528BA" w:rsidRPr="00863B0F">
        <w:rPr>
          <w:lang w:val="en-GB"/>
        </w:rPr>
        <w:t>fees</w:t>
      </w:r>
      <w:r w:rsidR="00D528BA">
        <w:rPr>
          <w:lang w:val="en-GB"/>
        </w:rPr>
        <w:t xml:space="preserve"> but</w:t>
      </w:r>
      <w:r w:rsidRPr="00863B0F">
        <w:rPr>
          <w:lang w:val="en-GB"/>
        </w:rPr>
        <w:t xml:space="preserve"> offers no design pathway to eradicate them. This gap motivates blockchain‑based approaches that can disintermediate acquirers and issuers.</w:t>
      </w:r>
    </w:p>
    <w:p w14:paraId="3A258B36" w14:textId="77777777" w:rsidR="006B1B5A" w:rsidRDefault="006B1B5A" w:rsidP="006B1B5A">
      <w:pPr>
        <w:pStyle w:val="BodyText"/>
        <w:spacing w:after="0" w:line="240" w:lineRule="auto"/>
        <w:rPr>
          <w:lang w:val="en-GB"/>
        </w:rPr>
      </w:pPr>
    </w:p>
    <w:p w14:paraId="73096864" w14:textId="114EE326" w:rsidR="00D4166A" w:rsidRDefault="00F749F1" w:rsidP="00D4166A">
      <w:pPr>
        <w:pStyle w:val="BodyText"/>
        <w:jc w:val="center"/>
        <w:rPr>
          <w:lang w:val="en-GB"/>
        </w:rPr>
      </w:pPr>
      <w:r>
        <w:fldChar w:fldCharType="begin"/>
      </w:r>
      <w:r>
        <w:instrText xml:space="preserve"> INCLUDEPICTURE "https://miro.medium.com/v2/resize:fit:1400/0*VRUTMrQRh_inZw_A.png" \* MERGEFORMATINET </w:instrText>
      </w:r>
      <w:r>
        <w:fldChar w:fldCharType="separate"/>
      </w:r>
      <w:r>
        <w:rPr>
          <w:noProof/>
        </w:rPr>
        <w:drawing>
          <wp:inline distT="0" distB="0" distL="0" distR="0" wp14:anchorId="554133E3" wp14:editId="7D95F372">
            <wp:extent cx="5113175" cy="2614862"/>
            <wp:effectExtent l="0" t="0" r="0" b="0"/>
            <wp:docPr id="968648376" name="Picture 2" descr="A diagram of a payment proces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8648376" name="Picture 2" descr="A diagram of a payment process&#10;&#10;AI-generated content may be incorrect."/>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b="9137"/>
                    <a:stretch/>
                  </pic:blipFill>
                  <pic:spPr bwMode="auto">
                    <a:xfrm>
                      <a:off x="0" y="0"/>
                      <a:ext cx="5266492" cy="2693268"/>
                    </a:xfrm>
                    <a:prstGeom prst="rect">
                      <a:avLst/>
                    </a:prstGeom>
                    <a:noFill/>
                    <a:ln>
                      <a:noFill/>
                    </a:ln>
                    <a:extLst>
                      <a:ext uri="{53640926-AAD7-44D8-BBD7-CCE9431645EC}">
                        <a14:shadowObscured xmlns:a14="http://schemas.microsoft.com/office/drawing/2010/main"/>
                      </a:ext>
                    </a:extLst>
                  </pic:spPr>
                </pic:pic>
              </a:graphicData>
            </a:graphic>
          </wp:inline>
        </w:drawing>
      </w:r>
      <w:r>
        <w:fldChar w:fldCharType="end"/>
      </w:r>
    </w:p>
    <w:p w14:paraId="1DBBAD9C" w14:textId="017C79B9" w:rsidR="009726AB" w:rsidRPr="009726AB" w:rsidRDefault="006E61D0" w:rsidP="009726AB">
      <w:pPr>
        <w:pStyle w:val="Caption"/>
        <w:jc w:val="center"/>
        <w:rPr>
          <w:rFonts w:eastAsia="SimSun"/>
          <w:i w:val="0"/>
          <w:iCs w:val="0"/>
          <w:noProof/>
          <w:color w:val="auto"/>
          <w:sz w:val="20"/>
          <w:szCs w:val="20"/>
        </w:rPr>
      </w:pPr>
      <w:bookmarkStart w:id="1" w:name="_Ref197868229"/>
      <w:r w:rsidRPr="006E61D0">
        <w:rPr>
          <w:rFonts w:eastAsia="DengXian"/>
          <w:b/>
          <w:bCs/>
          <w:i w:val="0"/>
          <w:iCs w:val="0"/>
          <w:color w:val="auto"/>
          <w:szCs w:val="20"/>
        </w:rPr>
        <w:t xml:space="preserve">FIGURE </w:t>
      </w:r>
      <w:r w:rsidR="009726AB" w:rsidRPr="006E61D0">
        <w:rPr>
          <w:rFonts w:eastAsia="DengXian"/>
          <w:b/>
          <w:bCs/>
          <w:i w:val="0"/>
          <w:iCs w:val="0"/>
          <w:color w:val="auto"/>
          <w:szCs w:val="20"/>
        </w:rPr>
        <w:fldChar w:fldCharType="begin"/>
      </w:r>
      <w:r w:rsidR="009726AB" w:rsidRPr="006E61D0">
        <w:rPr>
          <w:rFonts w:eastAsia="DengXian"/>
          <w:b/>
          <w:bCs/>
          <w:i w:val="0"/>
          <w:iCs w:val="0"/>
          <w:color w:val="auto"/>
          <w:szCs w:val="20"/>
        </w:rPr>
        <w:instrText xml:space="preserve"> SEQ Figure \* ARABIC </w:instrText>
      </w:r>
      <w:r w:rsidR="009726AB" w:rsidRPr="006E61D0">
        <w:rPr>
          <w:rFonts w:eastAsia="DengXian"/>
          <w:b/>
          <w:bCs/>
          <w:i w:val="0"/>
          <w:iCs w:val="0"/>
          <w:color w:val="auto"/>
          <w:szCs w:val="20"/>
        </w:rPr>
        <w:fldChar w:fldCharType="separate"/>
      </w:r>
      <w:r w:rsidR="005B631B">
        <w:rPr>
          <w:rFonts w:eastAsia="DengXian"/>
          <w:b/>
          <w:bCs/>
          <w:i w:val="0"/>
          <w:iCs w:val="0"/>
          <w:noProof/>
          <w:color w:val="auto"/>
          <w:szCs w:val="20"/>
        </w:rPr>
        <w:t>1</w:t>
      </w:r>
      <w:r w:rsidR="009726AB" w:rsidRPr="006E61D0">
        <w:rPr>
          <w:rFonts w:eastAsia="DengXian"/>
          <w:b/>
          <w:bCs/>
          <w:i w:val="0"/>
          <w:iCs w:val="0"/>
          <w:color w:val="auto"/>
          <w:szCs w:val="20"/>
        </w:rPr>
        <w:fldChar w:fldCharType="end"/>
      </w:r>
      <w:bookmarkEnd w:id="1"/>
      <w:r w:rsidR="009726AB" w:rsidRPr="006E61D0">
        <w:rPr>
          <w:rFonts w:eastAsia="DengXian"/>
          <w:b/>
          <w:bCs/>
          <w:i w:val="0"/>
          <w:iCs w:val="0"/>
          <w:color w:val="auto"/>
          <w:szCs w:val="20"/>
        </w:rPr>
        <w:t>.</w:t>
      </w:r>
      <w:r>
        <w:rPr>
          <w:rFonts w:eastAsia="DengXian"/>
          <w:b/>
          <w:bCs/>
          <w:i w:val="0"/>
          <w:iCs w:val="0"/>
          <w:color w:val="auto"/>
          <w:szCs w:val="20"/>
        </w:rPr>
        <w:t xml:space="preserve"> </w:t>
      </w:r>
      <w:r w:rsidR="009726AB" w:rsidRPr="006E61D0">
        <w:rPr>
          <w:rFonts w:eastAsia="DengXian"/>
          <w:i w:val="0"/>
          <w:iCs w:val="0"/>
          <w:color w:val="auto"/>
          <w:szCs w:val="20"/>
        </w:rPr>
        <w:t>Current</w:t>
      </w:r>
      <w:r w:rsidR="009726AB" w:rsidRPr="009726AB">
        <w:rPr>
          <w:rFonts w:eastAsia="SimSun"/>
          <w:i w:val="0"/>
          <w:iCs w:val="0"/>
          <w:noProof/>
          <w:color w:val="auto"/>
          <w:sz w:val="20"/>
          <w:szCs w:val="20"/>
        </w:rPr>
        <w:t xml:space="preserve"> e-commerce processing model</w:t>
      </w:r>
    </w:p>
    <w:p w14:paraId="31B45685" w14:textId="2A581D75" w:rsidR="00EC364F" w:rsidRDefault="00EC364F" w:rsidP="006B1B5A">
      <w:pPr>
        <w:pStyle w:val="figurecaption"/>
        <w:numPr>
          <w:ilvl w:val="0"/>
          <w:numId w:val="0"/>
        </w:numPr>
        <w:spacing w:before="240" w:after="240"/>
        <w:jc w:val="center"/>
        <w:rPr>
          <w:rFonts w:eastAsia="Times New Roman"/>
          <w:b/>
          <w:noProof w:val="0"/>
          <w:sz w:val="24"/>
          <w:szCs w:val="20"/>
        </w:rPr>
      </w:pPr>
      <w:r w:rsidRPr="00EC364F">
        <w:rPr>
          <w:rFonts w:eastAsia="Times New Roman"/>
          <w:b/>
          <w:noProof w:val="0"/>
          <w:sz w:val="24"/>
          <w:szCs w:val="20"/>
        </w:rPr>
        <w:t>Layer</w:t>
      </w:r>
      <w:r w:rsidRPr="00EC364F">
        <w:rPr>
          <w:rFonts w:eastAsia="Times New Roman"/>
          <w:b/>
          <w:noProof w:val="0"/>
          <w:sz w:val="24"/>
          <w:szCs w:val="20"/>
        </w:rPr>
        <w:noBreakHyphen/>
        <w:t>1 Blockchain Payment Solutions</w:t>
      </w:r>
      <w:r w:rsidR="00D87F86">
        <w:rPr>
          <w:rFonts w:eastAsia="Times New Roman"/>
          <w:b/>
          <w:noProof w:val="0"/>
          <w:sz w:val="24"/>
          <w:szCs w:val="20"/>
        </w:rPr>
        <w:t xml:space="preserve"> and </w:t>
      </w:r>
      <w:r w:rsidR="00D87F86" w:rsidRPr="006521FB">
        <w:rPr>
          <w:rFonts w:eastAsia="Times New Roman"/>
          <w:b/>
          <w:noProof w:val="0"/>
          <w:sz w:val="24"/>
          <w:szCs w:val="20"/>
        </w:rPr>
        <w:t>Layer</w:t>
      </w:r>
      <w:r w:rsidR="00D87F86" w:rsidRPr="006521FB">
        <w:rPr>
          <w:rFonts w:eastAsia="Times New Roman"/>
          <w:b/>
          <w:noProof w:val="0"/>
          <w:sz w:val="24"/>
          <w:szCs w:val="20"/>
        </w:rPr>
        <w:noBreakHyphen/>
        <w:t>2 Scaling Techniques for Payments</w:t>
      </w:r>
    </w:p>
    <w:p w14:paraId="2DBCBC08" w14:textId="04E3BBFC" w:rsidR="00595E71" w:rsidRDefault="00595E71" w:rsidP="006B1B5A">
      <w:pPr>
        <w:pStyle w:val="figurecaption"/>
        <w:numPr>
          <w:ilvl w:val="0"/>
          <w:numId w:val="0"/>
        </w:numPr>
        <w:tabs>
          <w:tab w:val="clear" w:pos="533"/>
        </w:tabs>
        <w:spacing w:before="0" w:after="0"/>
        <w:ind w:firstLine="288"/>
        <w:rPr>
          <w:sz w:val="20"/>
          <w:szCs w:val="20"/>
          <w:lang w:val="en-GB"/>
        </w:rPr>
      </w:pPr>
      <w:r w:rsidRPr="00595E71">
        <w:rPr>
          <w:sz w:val="20"/>
          <w:szCs w:val="20"/>
          <w:lang w:val="en-GB"/>
        </w:rPr>
        <w:t xml:space="preserve">Early decentralised marketplaces </w:t>
      </w:r>
      <w:r w:rsidR="00BE52A6" w:rsidRPr="00BE52A6">
        <w:rPr>
          <w:sz w:val="20"/>
          <w:szCs w:val="20"/>
          <w:lang w:val="en-GB"/>
        </w:rPr>
        <w:t xml:space="preserve">like </w:t>
      </w:r>
      <w:r w:rsidRPr="00BE52A6">
        <w:rPr>
          <w:sz w:val="20"/>
          <w:szCs w:val="20"/>
          <w:lang w:val="en-GB"/>
        </w:rPr>
        <w:t>OpenBazaar</w:t>
      </w:r>
      <w:r w:rsidR="00BE52A6" w:rsidRPr="00BE52A6">
        <w:rPr>
          <w:sz w:val="20"/>
          <w:szCs w:val="20"/>
          <w:lang w:val="en-GB"/>
        </w:rPr>
        <w:t xml:space="preserve"> </w:t>
      </w:r>
      <w:r w:rsidR="00BE52A6">
        <w:rPr>
          <w:sz w:val="20"/>
          <w:lang w:val="en-GB"/>
        </w:rPr>
        <w:t>in 2016</w:t>
      </w:r>
      <w:r w:rsidR="009D4FDC">
        <w:rPr>
          <w:sz w:val="20"/>
          <w:lang w:val="en-GB"/>
        </w:rPr>
        <w:t xml:space="preserve"> </w:t>
      </w:r>
      <w:r w:rsidR="00BE52A6">
        <w:rPr>
          <w:sz w:val="20"/>
          <w:lang w:val="en-GB"/>
        </w:rPr>
        <w:fldChar w:fldCharType="begin"/>
      </w:r>
      <w:r w:rsidR="009D4FDC">
        <w:rPr>
          <w:sz w:val="20"/>
          <w:lang w:val="en-GB"/>
        </w:rPr>
        <w:instrText xml:space="preserve"> ADDIN EN.CITE &lt;EndNote&gt;&lt;Cite&gt;&lt;Author&gt;Earle&lt;/Author&gt;&lt;Year&gt;2022&lt;/Year&gt;&lt;RecNum&gt;200&lt;/RecNum&gt;&lt;DisplayText&gt;[6]&lt;/DisplayText&gt;&lt;record&gt;&lt;rec-number&gt;200&lt;/rec-number&gt;&lt;foreign-keys&gt;&lt;key app="EN" db-id="xvtee90rp5v9toefwervx5ar0wf9pfs9v9ed" timestamp="1746502006" guid="0dd541d5-9803-4bcd-be40-9a29112586f9"&gt;200&lt;/key&gt;&lt;/foreign-keys&gt;&lt;ref-type name="Journal Article"&gt;17&lt;/ref-type&gt;&lt;contributors&gt;&lt;authors&gt;&lt;author&gt;Earle, Peter C&lt;/author&gt;&lt;author&gt;Gulker, Max&lt;/author&gt;&lt;author&gt;Stringham, Edward P&lt;/author&gt;&lt;/authors&gt;&lt;/contributors&gt;&lt;titles&gt;&lt;title&gt;Decentralized Marketplaces with Privately Enforced Contracts: A Case Study of OpenBazaar&lt;/title&gt;&lt;secondary-title&gt;Journal of Private Enterprise&lt;/secondary-title&gt;&lt;/titles&gt;&lt;periodical&gt;&lt;full-title&gt;Journal of Private Enterprise&lt;/full-title&gt;&lt;/periodical&gt;&lt;volume&gt;37&lt;/volume&gt;&lt;number&gt;4&lt;/number&gt;&lt;dates&gt;&lt;year&gt;2022&lt;/year&gt;&lt;/dates&gt;&lt;isbn&gt;0890-913X&lt;/isbn&gt;&lt;urls&gt;&lt;/urls&gt;&lt;/record&gt;&lt;/Cite&gt;&lt;/EndNote&gt;</w:instrText>
      </w:r>
      <w:r w:rsidR="00BE52A6">
        <w:rPr>
          <w:sz w:val="20"/>
          <w:lang w:val="en-GB"/>
        </w:rPr>
        <w:fldChar w:fldCharType="separate"/>
      </w:r>
      <w:r w:rsidR="002C2C59">
        <w:rPr>
          <w:sz w:val="20"/>
          <w:lang w:val="en-GB"/>
        </w:rPr>
        <w:t>[6]</w:t>
      </w:r>
      <w:r w:rsidR="00BE52A6">
        <w:rPr>
          <w:sz w:val="20"/>
          <w:lang w:val="en-GB"/>
        </w:rPr>
        <w:fldChar w:fldCharType="end"/>
      </w:r>
      <w:r w:rsidR="00BE52A6">
        <w:rPr>
          <w:sz w:val="20"/>
          <w:lang w:val="en-GB"/>
        </w:rPr>
        <w:t xml:space="preserve"> and token-based checkouts, Crypto</w:t>
      </w:r>
      <w:r w:rsidR="00BE52A6">
        <w:rPr>
          <w:sz w:val="20"/>
          <w:lang w:val="en-GB"/>
        </w:rPr>
        <w:noBreakHyphen/>
        <w:t>Kitties in 2017</w:t>
      </w:r>
      <w:r w:rsidR="002C2C59">
        <w:rPr>
          <w:sz w:val="20"/>
          <w:lang w:val="en-GB"/>
        </w:rPr>
        <w:t>,</w:t>
      </w:r>
      <w:r w:rsidR="00BE52A6">
        <w:rPr>
          <w:sz w:val="20"/>
          <w:lang w:val="en-GB"/>
        </w:rPr>
        <w:t xml:space="preserve"> </w:t>
      </w:r>
      <w:r w:rsidR="00BE52A6">
        <w:rPr>
          <w:sz w:val="20"/>
          <w:lang w:val="en-GB"/>
        </w:rPr>
        <w:fldChar w:fldCharType="begin"/>
      </w:r>
      <w:r w:rsidR="009D4FDC">
        <w:rPr>
          <w:sz w:val="20"/>
          <w:lang w:val="en-GB"/>
        </w:rPr>
        <w:instrText xml:space="preserve"> ADDIN EN.CITE &lt;EndNote&gt;&lt;Cite&gt;&lt;Author&gt;Jiang&lt;/Author&gt;&lt;Year&gt;2021&lt;/Year&gt;&lt;RecNum&gt;201&lt;/RecNum&gt;&lt;DisplayText&gt;[7]&lt;/DisplayText&gt;&lt;record&gt;&lt;rec-number&gt;201&lt;/rec-number&gt;&lt;foreign-keys&gt;&lt;key app="EN" db-id="xvtee90rp5v9toefwervx5ar0wf9pfs9v9ed" timestamp="1746502236" guid="572fd46b-16fe-41f6-92b9-58dcdde63369"&gt;201&lt;/key&gt;&lt;/foreign-keys&gt;&lt;ref-type name="Journal Article"&gt;17&lt;/ref-type&gt;&lt;contributors&gt;&lt;authors&gt;&lt;author&gt;Jiang, Xin-Jian&lt;/author&gt;&lt;author&gt;Liu, Xiao Fan&lt;/author&gt;&lt;/authors&gt;&lt;/contributors&gt;&lt;titles&gt;&lt;title&gt;Cryptokitties transaction network analysis: The rise and fall of the first blockchain game mania&lt;/title&gt;&lt;secondary-title&gt;Frontiers in Physics&lt;/secondary-title&gt;&lt;/titles&gt;&lt;periodical&gt;&lt;full-title&gt;Frontiers in Physics&lt;/full-title&gt;&lt;/periodical&gt;&lt;pages&gt;631665&lt;/pages&gt;&lt;volume&gt;9&lt;/volume&gt;&lt;dates&gt;&lt;year&gt;2021&lt;/year&gt;&lt;/dates&gt;&lt;isbn&gt;2296-424X&lt;/isbn&gt;&lt;urls&gt;&lt;/urls&gt;&lt;/record&gt;&lt;/Cite&gt;&lt;/EndNote&gt;</w:instrText>
      </w:r>
      <w:r w:rsidR="00BE52A6">
        <w:rPr>
          <w:sz w:val="20"/>
          <w:lang w:val="en-GB"/>
        </w:rPr>
        <w:fldChar w:fldCharType="separate"/>
      </w:r>
      <w:r w:rsidR="002C2C59">
        <w:rPr>
          <w:sz w:val="20"/>
          <w:lang w:val="en-GB"/>
        </w:rPr>
        <w:t>[7]</w:t>
      </w:r>
      <w:r w:rsidR="00BE52A6">
        <w:rPr>
          <w:sz w:val="20"/>
          <w:lang w:val="en-GB"/>
        </w:rPr>
        <w:fldChar w:fldCharType="end"/>
      </w:r>
      <w:r w:rsidR="00BE52A6">
        <w:rPr>
          <w:sz w:val="20"/>
          <w:lang w:val="en-GB"/>
        </w:rPr>
        <w:t xml:space="preserve"> demonstrated feasibility. Yet, empirical analyses </w:t>
      </w:r>
      <w:r w:rsidR="00BE52A6" w:rsidRPr="00BE52A6">
        <w:rPr>
          <w:sz w:val="20"/>
          <w:lang w:val="en-GB"/>
        </w:rPr>
        <w:t>by Earle</w:t>
      </w:r>
      <w:r w:rsidRPr="00BE52A6">
        <w:rPr>
          <w:sz w:val="20"/>
          <w:szCs w:val="20"/>
          <w:lang w:val="en-GB"/>
        </w:rPr>
        <w:t> et al. </w:t>
      </w:r>
      <w:r w:rsidR="00A32710">
        <w:rPr>
          <w:sz w:val="20"/>
          <w:szCs w:val="20"/>
          <w:lang w:val="en-GB"/>
        </w:rPr>
        <w:t xml:space="preserve"> </w:t>
      </w:r>
      <w:r w:rsidR="00A32710">
        <w:rPr>
          <w:sz w:val="20"/>
          <w:szCs w:val="20"/>
          <w:lang w:val="en-GB"/>
        </w:rPr>
        <w:fldChar w:fldCharType="begin"/>
      </w:r>
      <w:r w:rsidR="009D4FDC">
        <w:rPr>
          <w:sz w:val="20"/>
          <w:szCs w:val="20"/>
          <w:lang w:val="en-GB"/>
        </w:rPr>
        <w:instrText xml:space="preserve"> ADDIN EN.CITE &lt;EndNote&gt;&lt;Cite&gt;&lt;Author&gt;Earle&lt;/Author&gt;&lt;Year&gt;2022&lt;/Year&gt;&lt;RecNum&gt;200&lt;/RecNum&gt;&lt;DisplayText&gt;[6]&lt;/DisplayText&gt;&lt;record&gt;&lt;rec-number&gt;200&lt;/rec-number&gt;&lt;foreign-keys&gt;&lt;key app="EN" db-id="xvtee90rp5v9toefwervx5ar0wf9pfs9v9ed" timestamp="1746502006" guid="0dd541d5-9803-4bcd-be40-9a29112586f9"&gt;200&lt;/key&gt;&lt;/foreign-keys&gt;&lt;ref-type name="Journal Article"&gt;17&lt;/ref-type&gt;&lt;contributors&gt;&lt;authors&gt;&lt;author&gt;Earle, Peter C&lt;/author&gt;&lt;author&gt;Gulker, Max&lt;/author&gt;&lt;author&gt;Stringham, Edward P&lt;/author&gt;&lt;/authors&gt;&lt;/contributors&gt;&lt;titles&gt;&lt;title&gt;Decentralized Marketplaces with Privately Enforced Contracts: A Case Study of OpenBazaar&lt;/title&gt;&lt;secondary-title&gt;Journal of Private Enterprise&lt;/secondary-title&gt;&lt;/titles&gt;&lt;periodical&gt;&lt;full-title&gt;Journal of Private Enterprise&lt;/full-title&gt;&lt;/periodical&gt;&lt;volume&gt;37&lt;/volume&gt;&lt;number&gt;4&lt;/number&gt;&lt;dates&gt;&lt;year&gt;2022&lt;/year&gt;&lt;/dates&gt;&lt;isbn&gt;0890-913X&lt;/isbn&gt;&lt;urls&gt;&lt;/urls&gt;&lt;/record&gt;&lt;/Cite&gt;&lt;/EndNote&gt;</w:instrText>
      </w:r>
      <w:r w:rsidR="00A32710">
        <w:rPr>
          <w:sz w:val="20"/>
          <w:szCs w:val="20"/>
          <w:lang w:val="en-GB"/>
        </w:rPr>
        <w:fldChar w:fldCharType="separate"/>
      </w:r>
      <w:r w:rsidR="00A32710">
        <w:rPr>
          <w:sz w:val="20"/>
          <w:szCs w:val="20"/>
          <w:lang w:val="en-GB"/>
        </w:rPr>
        <w:t>[6]</w:t>
      </w:r>
      <w:r w:rsidR="00A32710">
        <w:rPr>
          <w:sz w:val="20"/>
          <w:szCs w:val="20"/>
          <w:lang w:val="en-GB"/>
        </w:rPr>
        <w:fldChar w:fldCharType="end"/>
      </w:r>
      <w:r w:rsidR="00A32710">
        <w:rPr>
          <w:sz w:val="20"/>
          <w:szCs w:val="20"/>
          <w:lang w:val="en-GB"/>
        </w:rPr>
        <w:t xml:space="preserve"> </w:t>
      </w:r>
      <w:r w:rsidRPr="00595E71">
        <w:rPr>
          <w:sz w:val="20"/>
          <w:szCs w:val="20"/>
          <w:lang w:val="en-GB"/>
        </w:rPr>
        <w:t>highlight average gas fees of USD 2–20 during congestion, rendering micro</w:t>
      </w:r>
      <w:r w:rsidRPr="00595E71">
        <w:rPr>
          <w:sz w:val="20"/>
          <w:szCs w:val="20"/>
          <w:lang w:val="en-GB"/>
        </w:rPr>
        <w:noBreakHyphen/>
        <w:t xml:space="preserve">payments infeasible. </w:t>
      </w:r>
      <w:bookmarkStart w:id="2" w:name="OLE_LINK1"/>
      <w:r w:rsidR="009D4FDC" w:rsidRPr="009D4FDC">
        <w:rPr>
          <w:sz w:val="20"/>
          <w:szCs w:val="20"/>
          <w:lang w:val="en-GB"/>
        </w:rPr>
        <w:t>Liya</w:t>
      </w:r>
      <w:r w:rsidRPr="009D4FDC">
        <w:rPr>
          <w:sz w:val="20"/>
          <w:szCs w:val="20"/>
          <w:lang w:val="en-GB"/>
        </w:rPr>
        <w:t> et al. </w:t>
      </w:r>
      <w:r w:rsidR="009D4FDC" w:rsidRPr="009D4FDC">
        <w:rPr>
          <w:sz w:val="20"/>
          <w:szCs w:val="20"/>
          <w:lang w:val="en-GB"/>
        </w:rPr>
        <w:fldChar w:fldCharType="begin"/>
      </w:r>
      <w:r w:rsidR="009D4FDC" w:rsidRPr="009D4FDC">
        <w:rPr>
          <w:sz w:val="20"/>
          <w:szCs w:val="20"/>
          <w:lang w:val="en-GB"/>
        </w:rPr>
        <w:instrText xml:space="preserve"> ADDIN EN.CITE &lt;EndNote&gt;&lt;Cite&gt;&lt;Author&gt;Liya&lt;/Author&gt;&lt;Year&gt;2023&lt;/Year&gt;&lt;RecNum&gt;191&lt;/RecNum&gt;&lt;DisplayText&gt;[8]&lt;/DisplayText&gt;&lt;record&gt;&lt;rec-number&gt;191&lt;/rec-number&gt;&lt;foreign-keys&gt;&lt;key app="EN" db-id="xvtee90rp5v9toefwervx5ar0wf9pfs9v9ed" timestamp="1746246628" guid="145b187d-ecd7-4530-b00f-053ea06ed3d5"&gt;191&lt;/key&gt;&lt;/foreign-keys&gt;&lt;ref-type name="Conference Proceedings"&gt;10&lt;/ref-type&gt;&lt;contributors&gt;&lt;authors&gt;&lt;author&gt;Liya, BS&lt;/author&gt;&lt;author&gt;Pritam, S&lt;/author&gt;&lt;author&gt;Navin, K&lt;/author&gt;&lt;/authors&gt;&lt;/contributors&gt;&lt;titles&gt;&lt;title&gt;Decentralized E-Commerce Platform Implemented using Smart Contracts&lt;/title&gt;&lt;secondary-title&gt;2023 3rd International Conference on Smart Data Intelligence (ICSMDI)&lt;/secondary-title&gt;&lt;/titles&gt;&lt;pages&gt;23-27&lt;/pages&gt;&lt;dates&gt;&lt;year&gt;2023&lt;/year&gt;&lt;/dates&gt;&lt;publisher&gt;IEEE&lt;/publisher&gt;&lt;isbn&gt;1665464879&lt;/isbn&gt;&lt;urls&gt;&lt;/urls&gt;&lt;/record&gt;&lt;/Cite&gt;&lt;/EndNote&gt;</w:instrText>
      </w:r>
      <w:r w:rsidR="009D4FDC" w:rsidRPr="009D4FDC">
        <w:rPr>
          <w:sz w:val="20"/>
          <w:szCs w:val="20"/>
          <w:lang w:val="en-GB"/>
        </w:rPr>
        <w:fldChar w:fldCharType="separate"/>
      </w:r>
      <w:r w:rsidR="009D4FDC" w:rsidRPr="009D4FDC">
        <w:rPr>
          <w:sz w:val="20"/>
          <w:szCs w:val="20"/>
          <w:lang w:val="en-GB"/>
        </w:rPr>
        <w:t>[8]</w:t>
      </w:r>
      <w:r w:rsidR="009D4FDC" w:rsidRPr="009D4FDC">
        <w:rPr>
          <w:sz w:val="20"/>
          <w:szCs w:val="20"/>
          <w:lang w:val="en-GB"/>
        </w:rPr>
        <w:fldChar w:fldCharType="end"/>
      </w:r>
      <w:r w:rsidRPr="00595E71">
        <w:rPr>
          <w:sz w:val="20"/>
          <w:szCs w:val="20"/>
          <w:lang w:val="en-GB"/>
        </w:rPr>
        <w:t xml:space="preserve"> propose a smart</w:t>
      </w:r>
      <w:r w:rsidRPr="00595E71">
        <w:rPr>
          <w:sz w:val="20"/>
          <w:szCs w:val="20"/>
          <w:lang w:val="en-GB"/>
        </w:rPr>
        <w:noBreakHyphen/>
        <w:t>contract escrow to reduce dispute risk but measure throughput only under a single</w:t>
      </w:r>
      <w:r>
        <w:rPr>
          <w:sz w:val="20"/>
          <w:szCs w:val="20"/>
          <w:lang w:val="en-GB"/>
        </w:rPr>
        <w:t>-</w:t>
      </w:r>
      <w:r w:rsidRPr="00595E71">
        <w:rPr>
          <w:sz w:val="20"/>
          <w:szCs w:val="20"/>
          <w:lang w:val="en-GB"/>
        </w:rPr>
        <w:t>threaded Ganache test</w:t>
      </w:r>
      <w:r w:rsidRPr="00595E71">
        <w:rPr>
          <w:sz w:val="20"/>
          <w:szCs w:val="20"/>
          <w:lang w:val="en-GB"/>
        </w:rPr>
        <w:noBreakHyphen/>
        <w:t>net, limiting external validity.</w:t>
      </w:r>
      <w:bookmarkEnd w:id="2"/>
      <w:r w:rsidRPr="00595E71">
        <w:rPr>
          <w:sz w:val="20"/>
          <w:szCs w:val="20"/>
          <w:lang w:val="en-GB"/>
        </w:rPr>
        <w:br/>
        <w:t>L1 solutions inherit the fee</w:t>
      </w:r>
      <w:r w:rsidRPr="00595E71">
        <w:rPr>
          <w:sz w:val="20"/>
          <w:szCs w:val="20"/>
          <w:lang w:val="en-GB"/>
        </w:rPr>
        <w:noBreakHyphen/>
        <w:t>latency trade</w:t>
      </w:r>
      <w:r>
        <w:rPr>
          <w:sz w:val="20"/>
          <w:szCs w:val="20"/>
          <w:lang w:val="en-GB"/>
        </w:rPr>
        <w:t>-</w:t>
      </w:r>
      <w:r w:rsidRPr="00595E71">
        <w:rPr>
          <w:sz w:val="20"/>
          <w:szCs w:val="20"/>
          <w:lang w:val="en-GB"/>
        </w:rPr>
        <w:t xml:space="preserve">offs of their base chains. </w:t>
      </w:r>
      <w:r>
        <w:rPr>
          <w:sz w:val="20"/>
          <w:szCs w:val="20"/>
          <w:lang w:val="en-GB"/>
        </w:rPr>
        <w:t>Therefore, a</w:t>
      </w:r>
      <w:r w:rsidRPr="00595E71">
        <w:rPr>
          <w:sz w:val="20"/>
          <w:szCs w:val="20"/>
          <w:lang w:val="en-GB"/>
        </w:rPr>
        <w:t>n alternative scaling layer is needed to achieve cost parity with PSPs.</w:t>
      </w:r>
    </w:p>
    <w:p w14:paraId="7AC795F5" w14:textId="487C78A1" w:rsidR="006521FB" w:rsidRPr="005A6091" w:rsidRDefault="006521FB" w:rsidP="006B1B5A">
      <w:pPr>
        <w:pStyle w:val="figurecaption"/>
        <w:numPr>
          <w:ilvl w:val="0"/>
          <w:numId w:val="10"/>
        </w:numPr>
        <w:spacing w:before="0" w:after="0"/>
        <w:rPr>
          <w:rFonts w:eastAsia="Times New Roman"/>
          <w:b/>
          <w:bCs/>
          <w:noProof w:val="0"/>
          <w:sz w:val="20"/>
          <w:szCs w:val="20"/>
        </w:rPr>
      </w:pPr>
      <w:r w:rsidRPr="006521FB">
        <w:rPr>
          <w:rFonts w:eastAsia="Times New Roman"/>
          <w:b/>
          <w:bCs/>
          <w:noProof w:val="0"/>
          <w:sz w:val="20"/>
          <w:szCs w:val="20"/>
        </w:rPr>
        <w:t>State Channels and Side</w:t>
      </w:r>
      <w:r w:rsidRPr="006521FB">
        <w:rPr>
          <w:rFonts w:eastAsia="Times New Roman"/>
          <w:b/>
          <w:bCs/>
          <w:noProof w:val="0"/>
          <w:sz w:val="20"/>
          <w:szCs w:val="20"/>
        </w:rPr>
        <w:noBreakHyphen/>
        <w:t>Chains</w:t>
      </w:r>
      <w:r w:rsidR="005A6091">
        <w:rPr>
          <w:rFonts w:eastAsia="Times New Roman"/>
          <w:b/>
          <w:bCs/>
          <w:noProof w:val="0"/>
          <w:sz w:val="20"/>
          <w:szCs w:val="20"/>
        </w:rPr>
        <w:t>:</w:t>
      </w:r>
      <w:r>
        <w:rPr>
          <w:rFonts w:eastAsia="Times New Roman"/>
          <w:b/>
          <w:bCs/>
          <w:noProof w:val="0"/>
          <w:sz w:val="20"/>
          <w:szCs w:val="20"/>
        </w:rPr>
        <w:t xml:space="preserve"> </w:t>
      </w:r>
      <w:r w:rsidR="00597504">
        <w:rPr>
          <w:rFonts w:eastAsia="Times New Roman"/>
          <w:noProof w:val="0"/>
          <w:sz w:val="20"/>
          <w:szCs w:val="20"/>
          <w:lang w:val="en-GB"/>
        </w:rPr>
        <w:t>S</w:t>
      </w:r>
      <w:r w:rsidRPr="006521FB">
        <w:rPr>
          <w:rFonts w:eastAsia="Times New Roman"/>
          <w:noProof w:val="0"/>
          <w:sz w:val="20"/>
          <w:szCs w:val="20"/>
          <w:lang w:val="en-GB"/>
        </w:rPr>
        <w:t>tate channels (Lightning, Raiden) dominated the discourse</w:t>
      </w:r>
      <w:r w:rsidR="00597504">
        <w:rPr>
          <w:rFonts w:eastAsia="Times New Roman"/>
          <w:noProof w:val="0"/>
          <w:sz w:val="20"/>
          <w:szCs w:val="20"/>
          <w:lang w:val="en-GB"/>
        </w:rPr>
        <w:t xml:space="preserve"> before roll-ups</w:t>
      </w:r>
      <w:r w:rsidRPr="006521FB">
        <w:rPr>
          <w:rFonts w:eastAsia="Times New Roman"/>
          <w:noProof w:val="0"/>
          <w:sz w:val="20"/>
          <w:szCs w:val="20"/>
          <w:lang w:val="en-GB"/>
        </w:rPr>
        <w:t xml:space="preserve">. </w:t>
      </w:r>
      <w:r w:rsidR="00897CD8" w:rsidRPr="00897CD8">
        <w:rPr>
          <w:rFonts w:eastAsia="Times New Roman"/>
          <w:noProof w:val="0"/>
          <w:sz w:val="20"/>
          <w:szCs w:val="20"/>
          <w:lang w:val="en-GB"/>
        </w:rPr>
        <w:t xml:space="preserve">Saif </w:t>
      </w:r>
      <w:r w:rsidRPr="00897CD8">
        <w:rPr>
          <w:rFonts w:eastAsia="Times New Roman"/>
          <w:noProof w:val="0"/>
          <w:sz w:val="20"/>
          <w:szCs w:val="20"/>
          <w:lang w:val="en-GB"/>
        </w:rPr>
        <w:t> et al. </w:t>
      </w:r>
      <w:r w:rsidR="00897CD8" w:rsidRPr="00897CD8">
        <w:rPr>
          <w:rFonts w:eastAsia="Times New Roman"/>
          <w:noProof w:val="0"/>
          <w:sz w:val="20"/>
          <w:szCs w:val="20"/>
          <w:lang w:val="en-GB"/>
        </w:rPr>
        <w:fldChar w:fldCharType="begin"/>
      </w:r>
      <w:r w:rsidR="009D4FDC">
        <w:rPr>
          <w:rFonts w:eastAsia="Times New Roman"/>
          <w:noProof w:val="0"/>
          <w:sz w:val="20"/>
          <w:szCs w:val="20"/>
          <w:lang w:val="en-GB"/>
        </w:rPr>
        <w:instrText xml:space="preserve"> ADDIN EN.CITE &lt;EndNote&gt;&lt;Cite&gt;&lt;Author&gt;Saif&lt;/Author&gt;&lt;Year&gt;2024&lt;/Year&gt;&lt;RecNum&gt;202&lt;/RecNum&gt;&lt;DisplayText&gt;[9]&lt;/DisplayText&gt;&lt;record&gt;&lt;rec-number&gt;202&lt;/rec-number&gt;&lt;foreign-keys&gt;&lt;key app="EN" db-id="xvtee90rp5v9toefwervx5ar0wf9pfs9v9ed" timestamp="1746502490" guid="b988d678-9ff1-4108-90fe-c68851aed1ea"&gt;202&lt;/key&gt;&lt;/foreign-keys&gt;&lt;ref-type name="Journal Article"&gt;17&lt;/ref-type&gt;&lt;contributors&gt;&lt;authors&gt;&lt;author&gt;Saif, Muhammad Bin&lt;/author&gt;&lt;author&gt;Migliorini, Sara&lt;/author&gt;&lt;author&gt;Spoto, Fausto&lt;/author&gt;&lt;/authors&gt;&lt;/contributors&gt;&lt;titles&gt;&lt;title&gt;A Survey on Data Availability in Layer 2 Blockchain Rollups: Open Challenges and Future Improvements&lt;/title&gt;&lt;secondary-title&gt;Future Internet&lt;/secondary-title&gt;&lt;/titles&gt;&lt;periodical&gt;&lt;full-title&gt;Future Internet&lt;/full-title&gt;&lt;/periodical&gt;&lt;pages&gt;315&lt;/pages&gt;&lt;volume&gt;16&lt;/volume&gt;&lt;number&gt;9&lt;/number&gt;&lt;dates&gt;&lt;year&gt;2024&lt;/year&gt;&lt;/dates&gt;&lt;isbn&gt;1999-5903&lt;/isbn&gt;&lt;urls&gt;&lt;/urls&gt;&lt;/record&gt;&lt;/Cite&gt;&lt;/EndNote&gt;</w:instrText>
      </w:r>
      <w:r w:rsidR="00897CD8" w:rsidRPr="00897CD8">
        <w:rPr>
          <w:rFonts w:eastAsia="Times New Roman"/>
          <w:noProof w:val="0"/>
          <w:sz w:val="20"/>
          <w:szCs w:val="20"/>
          <w:lang w:val="en-GB"/>
        </w:rPr>
        <w:fldChar w:fldCharType="separate"/>
      </w:r>
      <w:r w:rsidR="009D4FDC">
        <w:rPr>
          <w:rFonts w:eastAsia="Times New Roman"/>
          <w:sz w:val="20"/>
          <w:szCs w:val="20"/>
          <w:lang w:val="en-GB"/>
        </w:rPr>
        <w:t>[9]</w:t>
      </w:r>
      <w:r w:rsidR="00897CD8" w:rsidRPr="00897CD8">
        <w:rPr>
          <w:rFonts w:eastAsia="Times New Roman"/>
          <w:noProof w:val="0"/>
          <w:sz w:val="20"/>
          <w:szCs w:val="20"/>
          <w:lang w:val="en-GB"/>
        </w:rPr>
        <w:fldChar w:fldCharType="end"/>
      </w:r>
      <w:r w:rsidR="00897CD8" w:rsidRPr="00897CD8">
        <w:rPr>
          <w:rFonts w:eastAsia="Times New Roman"/>
          <w:noProof w:val="0"/>
          <w:sz w:val="20"/>
          <w:szCs w:val="20"/>
          <w:lang w:val="en-GB"/>
        </w:rPr>
        <w:t xml:space="preserve"> </w:t>
      </w:r>
      <w:r w:rsidRPr="00897CD8">
        <w:rPr>
          <w:rFonts w:eastAsia="Times New Roman"/>
          <w:noProof w:val="0"/>
          <w:sz w:val="20"/>
          <w:szCs w:val="20"/>
          <w:lang w:val="en-GB"/>
        </w:rPr>
        <w:t>report</w:t>
      </w:r>
      <w:r w:rsidRPr="006521FB">
        <w:rPr>
          <w:rFonts w:eastAsia="Times New Roman"/>
          <w:noProof w:val="0"/>
          <w:sz w:val="20"/>
          <w:szCs w:val="20"/>
          <w:lang w:val="en-GB"/>
        </w:rPr>
        <w:t xml:space="preserve"> sub</w:t>
      </w:r>
      <w:r>
        <w:rPr>
          <w:rFonts w:eastAsia="Times New Roman"/>
          <w:noProof w:val="0"/>
          <w:sz w:val="20"/>
          <w:szCs w:val="20"/>
          <w:lang w:val="en-GB"/>
        </w:rPr>
        <w:t>-</w:t>
      </w:r>
      <w:r w:rsidRPr="006521FB">
        <w:rPr>
          <w:rFonts w:eastAsia="Times New Roman"/>
          <w:noProof w:val="0"/>
          <w:sz w:val="20"/>
          <w:szCs w:val="20"/>
          <w:lang w:val="en-GB"/>
        </w:rPr>
        <w:t>cent fees but note a 28 % failure rate for multi</w:t>
      </w:r>
      <w:r>
        <w:rPr>
          <w:rFonts w:eastAsia="Times New Roman"/>
          <w:noProof w:val="0"/>
          <w:sz w:val="20"/>
          <w:szCs w:val="20"/>
          <w:lang w:val="en-GB"/>
        </w:rPr>
        <w:t>-</w:t>
      </w:r>
      <w:r w:rsidRPr="006521FB">
        <w:rPr>
          <w:rFonts w:eastAsia="Times New Roman"/>
          <w:noProof w:val="0"/>
          <w:sz w:val="20"/>
          <w:szCs w:val="20"/>
          <w:lang w:val="en-GB"/>
        </w:rPr>
        <w:t>hop payments. Side</w:t>
      </w:r>
      <w:r w:rsidRPr="006521FB">
        <w:rPr>
          <w:rFonts w:eastAsia="Times New Roman"/>
          <w:noProof w:val="0"/>
          <w:sz w:val="20"/>
          <w:szCs w:val="20"/>
          <w:lang w:val="en-GB"/>
        </w:rPr>
        <w:noBreakHyphen/>
        <w:t>chains</w:t>
      </w:r>
      <w:r w:rsidR="00672791">
        <w:rPr>
          <w:rFonts w:eastAsia="Times New Roman"/>
          <w:noProof w:val="0"/>
          <w:sz w:val="20"/>
          <w:szCs w:val="20"/>
          <w:lang w:val="en-GB"/>
        </w:rPr>
        <w:t>,</w:t>
      </w:r>
      <w:r w:rsidRPr="006521FB">
        <w:rPr>
          <w:rFonts w:eastAsia="Times New Roman"/>
          <w:noProof w:val="0"/>
          <w:sz w:val="20"/>
          <w:szCs w:val="20"/>
          <w:lang w:val="en-GB"/>
        </w:rPr>
        <w:t xml:space="preserve"> such as </w:t>
      </w:r>
      <w:r w:rsidRPr="00672791">
        <w:rPr>
          <w:rFonts w:eastAsia="Times New Roman"/>
          <w:noProof w:val="0"/>
          <w:sz w:val="20"/>
          <w:szCs w:val="20"/>
          <w:lang w:val="en-GB"/>
        </w:rPr>
        <w:t xml:space="preserve">Plasma </w:t>
      </w:r>
      <w:proofErr w:type="spellStart"/>
      <w:r w:rsidR="00672791" w:rsidRPr="00672791">
        <w:rPr>
          <w:rFonts w:eastAsia="Times New Roman"/>
          <w:noProof w:val="0"/>
          <w:sz w:val="20"/>
          <w:szCs w:val="20"/>
          <w:lang w:val="en-GB"/>
        </w:rPr>
        <w:t>Neiheiser</w:t>
      </w:r>
      <w:proofErr w:type="spellEnd"/>
      <w:r w:rsidR="00672791">
        <w:rPr>
          <w:rFonts w:eastAsia="Times New Roman"/>
          <w:noProof w:val="0"/>
          <w:sz w:val="20"/>
          <w:szCs w:val="20"/>
          <w:lang w:val="en-GB"/>
        </w:rPr>
        <w:t xml:space="preserve"> et al</w:t>
      </w:r>
      <w:r w:rsidRPr="00672791">
        <w:rPr>
          <w:rFonts w:eastAsia="Times New Roman"/>
          <w:noProof w:val="0"/>
          <w:sz w:val="20"/>
          <w:szCs w:val="20"/>
          <w:lang w:val="en-GB"/>
        </w:rPr>
        <w:t>. </w:t>
      </w:r>
      <w:r w:rsidR="00672791" w:rsidRPr="00672791">
        <w:rPr>
          <w:rFonts w:eastAsia="Times New Roman"/>
          <w:noProof w:val="0"/>
          <w:sz w:val="20"/>
          <w:szCs w:val="20"/>
          <w:lang w:val="en-GB"/>
        </w:rPr>
        <w:fldChar w:fldCharType="begin"/>
      </w:r>
      <w:r w:rsidR="001378E7">
        <w:rPr>
          <w:rFonts w:eastAsia="Times New Roman"/>
          <w:noProof w:val="0"/>
          <w:sz w:val="20"/>
          <w:szCs w:val="20"/>
          <w:lang w:val="en-GB"/>
        </w:rPr>
        <w:instrText xml:space="preserve"> ADDIN EN.CITE &lt;EndNote&gt;&lt;Cite&gt;&lt;Author&gt;Neiheiser&lt;/Author&gt;&lt;Year&gt;2023&lt;/Year&gt;&lt;RecNum&gt;203&lt;/RecNum&gt;&lt;DisplayText&gt;[10]&lt;/DisplayText&gt;&lt;record&gt;&lt;rec-number&gt;203&lt;/rec-number&gt;&lt;foreign-keys&gt;&lt;key app="EN" db-id="xvtee90rp5v9toefwervx5ar0wf9pfs9v9ed" timestamp="1746876056" guid="05d33f81-dad8-47dd-816c-2677ce835600"&gt;203&lt;/key&gt;&lt;/foreign-keys&gt;&lt;ref-type name="Journal Article"&gt;17&lt;/ref-type&gt;&lt;contributors&gt;&lt;authors&gt;&lt;author&gt;Neiheiser, Ray&lt;/author&gt;&lt;author&gt;Inácio, Gustavo&lt;/author&gt;&lt;author&gt;Rech, Luciana&lt;/author&gt;&lt;author&gt;Montez, Carlos&lt;/author&gt;&lt;author&gt;Matos, Miguel&lt;/author&gt;&lt;author&gt;Rodrigues, Luís&lt;/author&gt;&lt;/authors&gt;&lt;/contributors&gt;&lt;titles&gt;&lt;title&gt;Practical limitations of ethereum’s layer-2&lt;/title&gt;&lt;secondary-title&gt;IEEE Access&lt;/secondary-title&gt;&lt;/titles&gt;&lt;periodical&gt;&lt;full-title&gt;Ieee Access&lt;/full-title&gt;&lt;/periodical&gt;&lt;pages&gt;8651-8662&lt;/pages&gt;&lt;volume&gt;11&lt;/volume&gt;&lt;dates&gt;&lt;year&gt;2023&lt;/year&gt;&lt;/dates&gt;&lt;isbn&gt;2169-3536&lt;/isbn&gt;&lt;urls&gt;&lt;/urls&gt;&lt;/record&gt;&lt;/Cite&gt;&lt;/EndNote&gt;</w:instrText>
      </w:r>
      <w:r w:rsidR="00672791" w:rsidRPr="00672791">
        <w:rPr>
          <w:rFonts w:eastAsia="Times New Roman"/>
          <w:noProof w:val="0"/>
          <w:sz w:val="20"/>
          <w:szCs w:val="20"/>
          <w:lang w:val="en-GB"/>
        </w:rPr>
        <w:fldChar w:fldCharType="separate"/>
      </w:r>
      <w:r w:rsidR="00672791" w:rsidRPr="00672791">
        <w:rPr>
          <w:rFonts w:eastAsia="Times New Roman"/>
          <w:sz w:val="20"/>
          <w:szCs w:val="20"/>
          <w:lang w:val="en-GB"/>
        </w:rPr>
        <w:t>[10]</w:t>
      </w:r>
      <w:r w:rsidR="00672791" w:rsidRPr="00672791">
        <w:rPr>
          <w:rFonts w:eastAsia="Times New Roman"/>
          <w:noProof w:val="0"/>
          <w:sz w:val="20"/>
          <w:szCs w:val="20"/>
          <w:lang w:val="en-GB"/>
        </w:rPr>
        <w:fldChar w:fldCharType="end"/>
      </w:r>
      <w:r w:rsidRPr="006521FB">
        <w:rPr>
          <w:rFonts w:eastAsia="Times New Roman"/>
          <w:noProof w:val="0"/>
          <w:sz w:val="20"/>
          <w:szCs w:val="20"/>
          <w:lang w:val="en-GB"/>
        </w:rPr>
        <w:t xml:space="preserve"> improve capacity yet suffer from weaker security assumptions and complex exit games. Both approaches demand continuous online presence from users, a UX hurdle cited by </w:t>
      </w:r>
      <w:r w:rsidR="00AC253F" w:rsidRPr="00AC253F">
        <w:rPr>
          <w:rFonts w:eastAsia="Times New Roman"/>
          <w:noProof w:val="0"/>
          <w:sz w:val="20"/>
          <w:szCs w:val="20"/>
          <w:lang w:val="en-GB"/>
        </w:rPr>
        <w:t>Sikder</w:t>
      </w:r>
      <w:r w:rsidRPr="00AC253F">
        <w:rPr>
          <w:rFonts w:eastAsia="Times New Roman"/>
          <w:noProof w:val="0"/>
          <w:sz w:val="20"/>
          <w:szCs w:val="20"/>
          <w:lang w:val="en-GB"/>
        </w:rPr>
        <w:t> et al. </w:t>
      </w:r>
      <w:r w:rsidR="00AC253F" w:rsidRPr="00AC253F">
        <w:rPr>
          <w:rFonts w:eastAsia="Times New Roman"/>
          <w:noProof w:val="0"/>
          <w:sz w:val="20"/>
          <w:szCs w:val="20"/>
          <w:lang w:val="en-GB"/>
        </w:rPr>
        <w:fldChar w:fldCharType="begin"/>
      </w:r>
      <w:r w:rsidR="001378E7">
        <w:rPr>
          <w:rFonts w:eastAsia="Times New Roman"/>
          <w:noProof w:val="0"/>
          <w:sz w:val="20"/>
          <w:szCs w:val="20"/>
          <w:lang w:val="en-GB"/>
        </w:rPr>
        <w:instrText xml:space="preserve"> ADDIN EN.CITE &lt;EndNote&gt;&lt;Cite&gt;&lt;Author&gt;Sikder&lt;/Author&gt;&lt;Year&gt;2023&lt;/Year&gt;&lt;RecNum&gt;204&lt;/RecNum&gt;&lt;DisplayText&gt;[11]&lt;/DisplayText&gt;&lt;record&gt;&lt;rec-number&gt;204&lt;/rec-number&gt;&lt;foreign-keys&gt;&lt;key app="EN" db-id="xvtee90rp5v9toefwervx5ar0wf9pfs9v9ed" timestamp="1746876187" guid="1786640e-36c8-4ee2-b8c2-aba6f6c9283c"&gt;204&lt;/key&gt;&lt;/foreign-keys&gt;&lt;ref-type name="Journal Article"&gt;17&lt;/ref-type&gt;&lt;contributors&gt;&lt;authors&gt;&lt;author&gt;Sikder, Abu Sayed&lt;/author&gt;&lt;/authors&gt;&lt;/contributors&gt;&lt;titles&gt;&lt;title&gt;Revolutionizing Web User Experience: A Pioneering Investigation into Web Performance Optimization&amp;apos;s Impact on User Experience and Business Success: Web Performance Optimization&amp;apos;s Impact on User Experience and Business Success&lt;/title&gt;&lt;secondary-title&gt;International Journal of Imminent Science &amp;amp; Technology.&lt;/secondary-title&gt;&lt;/titles&gt;&lt;periodical&gt;&lt;full-title&gt;International Journal of Imminent Science &amp;amp; Technology.&lt;/full-title&gt;&lt;/periodical&gt;&lt;pages&gt;186-198&lt;/pages&gt;&lt;volume&gt;1&lt;/volume&gt;&lt;number&gt;1&lt;/number&gt;&lt;dates&gt;&lt;year&gt;2023&lt;/year&gt;&lt;/dates&gt;&lt;isbn&gt;3006-3116&lt;/isbn&gt;&lt;urls&gt;&lt;/urls&gt;&lt;/record&gt;&lt;/Cite&gt;&lt;/EndNote&gt;</w:instrText>
      </w:r>
      <w:r w:rsidR="00AC253F" w:rsidRPr="00AC253F">
        <w:rPr>
          <w:rFonts w:eastAsia="Times New Roman"/>
          <w:noProof w:val="0"/>
          <w:sz w:val="20"/>
          <w:szCs w:val="20"/>
          <w:lang w:val="en-GB"/>
        </w:rPr>
        <w:fldChar w:fldCharType="separate"/>
      </w:r>
      <w:r w:rsidR="00AC253F" w:rsidRPr="00AC253F">
        <w:rPr>
          <w:rFonts w:eastAsia="Times New Roman"/>
          <w:sz w:val="20"/>
          <w:szCs w:val="20"/>
          <w:lang w:val="en-GB"/>
        </w:rPr>
        <w:t>[11]</w:t>
      </w:r>
      <w:r w:rsidR="00AC253F" w:rsidRPr="00AC253F">
        <w:rPr>
          <w:rFonts w:eastAsia="Times New Roman"/>
          <w:noProof w:val="0"/>
          <w:sz w:val="20"/>
          <w:szCs w:val="20"/>
          <w:lang w:val="en-GB"/>
        </w:rPr>
        <w:fldChar w:fldCharType="end"/>
      </w:r>
      <w:r w:rsidRPr="00AC253F">
        <w:rPr>
          <w:rFonts w:eastAsia="Times New Roman"/>
          <w:noProof w:val="0"/>
          <w:sz w:val="20"/>
          <w:szCs w:val="20"/>
          <w:lang w:val="en-GB"/>
        </w:rPr>
        <w:t>.</w:t>
      </w:r>
    </w:p>
    <w:p w14:paraId="5116BAD7" w14:textId="3D843315" w:rsidR="005A6091" w:rsidRDefault="005A6091" w:rsidP="006B1B5A">
      <w:pPr>
        <w:pStyle w:val="ListParagraph"/>
        <w:numPr>
          <w:ilvl w:val="0"/>
          <w:numId w:val="10"/>
        </w:numPr>
        <w:jc w:val="both"/>
        <w:rPr>
          <w:sz w:val="20"/>
          <w:lang w:val="en-GB"/>
        </w:rPr>
      </w:pPr>
      <w:r w:rsidRPr="005A6091">
        <w:rPr>
          <w:b/>
          <w:bCs/>
          <w:sz w:val="20"/>
        </w:rPr>
        <w:t>ZK</w:t>
      </w:r>
      <w:r w:rsidRPr="005A6091">
        <w:rPr>
          <w:b/>
          <w:bCs/>
          <w:sz w:val="20"/>
        </w:rPr>
        <w:noBreakHyphen/>
        <w:t xml:space="preserve"> and Optimistic Roll</w:t>
      </w:r>
      <w:r w:rsidR="00960364">
        <w:rPr>
          <w:b/>
          <w:bCs/>
          <w:sz w:val="20"/>
        </w:rPr>
        <w:t>-</w:t>
      </w:r>
      <w:r w:rsidRPr="005A6091">
        <w:rPr>
          <w:b/>
          <w:bCs/>
          <w:sz w:val="20"/>
        </w:rPr>
        <w:t>ups</w:t>
      </w:r>
      <w:r>
        <w:rPr>
          <w:b/>
          <w:bCs/>
          <w:sz w:val="20"/>
        </w:rPr>
        <w:t>:</w:t>
      </w:r>
      <w:r w:rsidRPr="005A6091">
        <w:rPr>
          <w:b/>
          <w:bCs/>
          <w:sz w:val="20"/>
        </w:rPr>
        <w:t xml:space="preserve"> </w:t>
      </w:r>
      <w:r w:rsidRPr="005A6091">
        <w:rPr>
          <w:sz w:val="20"/>
          <w:lang w:val="en-GB"/>
        </w:rPr>
        <w:t>More recently, roll</w:t>
      </w:r>
      <w:r w:rsidR="00960364">
        <w:rPr>
          <w:sz w:val="20"/>
          <w:lang w:val="en-GB"/>
        </w:rPr>
        <w:t>-</w:t>
      </w:r>
      <w:r w:rsidRPr="005A6091">
        <w:rPr>
          <w:sz w:val="20"/>
          <w:lang w:val="en-GB"/>
        </w:rPr>
        <w:t xml:space="preserve">ups aggregate thousands of transfers into a single L1 proof. Buterin’s canonical </w:t>
      </w:r>
      <w:proofErr w:type="spellStart"/>
      <w:r w:rsidR="001378E7" w:rsidRPr="001378E7">
        <w:rPr>
          <w:sz w:val="20"/>
          <w:lang w:val="en-GB"/>
        </w:rPr>
        <w:t>Gorzny</w:t>
      </w:r>
      <w:proofErr w:type="spellEnd"/>
      <w:r w:rsidRPr="001378E7">
        <w:rPr>
          <w:sz w:val="20"/>
          <w:lang w:val="en-GB"/>
        </w:rPr>
        <w:t xml:space="preserve"> </w:t>
      </w:r>
      <w:r w:rsidR="001378E7" w:rsidRPr="001378E7">
        <w:rPr>
          <w:sz w:val="20"/>
          <w:lang w:val="en-GB"/>
        </w:rPr>
        <w:fldChar w:fldCharType="begin"/>
      </w:r>
      <w:r w:rsidR="00B10B62">
        <w:rPr>
          <w:sz w:val="20"/>
          <w:lang w:val="en-GB"/>
        </w:rPr>
        <w:instrText xml:space="preserve"> ADDIN EN.CITE &lt;EndNote&gt;&lt;Cite&gt;&lt;Author&gt;Gorzny&lt;/Author&gt;&lt;Year&gt;2024&lt;/Year&gt;&lt;RecNum&gt;205&lt;/RecNum&gt;&lt;DisplayText&gt;[12]&lt;/DisplayText&gt;&lt;record&gt;&lt;rec-number&gt;205&lt;/rec-number&gt;&lt;foreign-keys&gt;&lt;key app="EN" db-id="xvtee90rp5v9toefwervx5ar0wf9pfs9v9ed" timestamp="1746938803" guid="54828322-13ef-42b4-a1d6-67665cb09703"&gt;205&lt;/key&gt;&lt;/foreign-keys&gt;&lt;ref-type name="Journal Article"&gt;17&lt;/ref-type&gt;&lt;contributors&gt;&lt;authors&gt;&lt;author&gt;Gorzny, Jan&lt;/author&gt;&lt;author&gt;Derka, Martin&lt;/author&gt;&lt;/authors&gt;&lt;/contributors&gt;&lt;titles&gt;&lt;title&gt;A rollup comparison framework&lt;/title&gt;&lt;secondary-title&gt;arXiv preprint arXiv:2404.16150&lt;/secondary-title&gt;&lt;/titles&gt;&lt;periodical&gt;&lt;full-title&gt;arXiv preprint arXiv:2404.16150&lt;/full-title&gt;&lt;/periodical&gt;&lt;dates&gt;&lt;year&gt;2024&lt;/year&gt;&lt;/dates&gt;&lt;urls&gt;&lt;/urls&gt;&lt;/record&gt;&lt;/Cite&gt;&lt;/EndNote&gt;</w:instrText>
      </w:r>
      <w:r w:rsidR="001378E7" w:rsidRPr="001378E7">
        <w:rPr>
          <w:sz w:val="20"/>
          <w:lang w:val="en-GB"/>
        </w:rPr>
        <w:fldChar w:fldCharType="separate"/>
      </w:r>
      <w:r w:rsidR="001378E7" w:rsidRPr="001378E7">
        <w:rPr>
          <w:noProof/>
          <w:sz w:val="20"/>
          <w:lang w:val="en-GB"/>
        </w:rPr>
        <w:t>[12]</w:t>
      </w:r>
      <w:r w:rsidR="001378E7" w:rsidRPr="001378E7">
        <w:rPr>
          <w:sz w:val="20"/>
          <w:lang w:val="en-GB"/>
        </w:rPr>
        <w:fldChar w:fldCharType="end"/>
      </w:r>
      <w:r w:rsidRPr="005A6091">
        <w:rPr>
          <w:sz w:val="20"/>
          <w:lang w:val="en-GB"/>
        </w:rPr>
        <w:t xml:space="preserve"> is refined by Optimis</w:t>
      </w:r>
      <w:r w:rsidRPr="00B10B62">
        <w:rPr>
          <w:sz w:val="20"/>
          <w:lang w:val="en-GB"/>
        </w:rPr>
        <w:t xml:space="preserve">m </w:t>
      </w:r>
      <w:r w:rsidR="00B10B62" w:rsidRPr="00B10B62">
        <w:rPr>
          <w:sz w:val="20"/>
          <w:lang w:val="en-GB"/>
        </w:rPr>
        <w:t>Tas</w:t>
      </w:r>
      <w:r w:rsidRPr="00B10B62">
        <w:rPr>
          <w:sz w:val="20"/>
          <w:lang w:val="en-GB"/>
        </w:rPr>
        <w:t> et al. </w:t>
      </w:r>
      <w:r w:rsidR="00B10B62" w:rsidRPr="00B10B62">
        <w:rPr>
          <w:sz w:val="20"/>
          <w:lang w:val="en-GB"/>
        </w:rPr>
        <w:fldChar w:fldCharType="begin"/>
      </w:r>
      <w:r w:rsidR="00CE0D3C">
        <w:rPr>
          <w:sz w:val="20"/>
          <w:lang w:val="en-GB"/>
        </w:rPr>
        <w:instrText xml:space="preserve"> ADDIN EN.CITE &lt;EndNote&gt;&lt;Cite&gt;&lt;Author&gt;Tas&lt;/Author&gt;&lt;Year&gt;2022&lt;/Year&gt;&lt;RecNum&gt;206&lt;/RecNum&gt;&lt;DisplayText&gt;[13]&lt;/DisplayText&gt;&lt;record&gt;&lt;rec-number&gt;206&lt;/rec-number&gt;&lt;foreign-keys&gt;&lt;key app="EN" db-id="xvtee90rp5v9toefwervx5ar0wf9pfs9v9ed" timestamp="1746940432" guid="512f3f0a-75ac-4aa0-a2aa-17a2a24e1d94"&gt;206&lt;/key&gt;&lt;/foreign-keys&gt;&lt;ref-type name="Journal Article"&gt;17&lt;/ref-type&gt;&lt;contributors&gt;&lt;authors&gt;&lt;author&gt;Tas, Ertem Nusret&lt;/author&gt;&lt;author&gt;Adler, John&lt;/author&gt;&lt;author&gt;Al-Bassam, Mustafa&lt;/author&gt;&lt;author&gt;Khoffi, Ismail&lt;/author&gt;&lt;author&gt;Tse, David&lt;/author&gt;&lt;author&gt;Vaziri, Nima&lt;/author&gt;&lt;/authors&gt;&lt;/contributors&gt;&lt;titles&gt;&lt;title&gt;Accountable safety for rollups&lt;/title&gt;&lt;secondary-title&gt;arXiv preprint arXiv:2210.15017&lt;/secondary-title&gt;&lt;/titles&gt;&lt;periodical&gt;&lt;full-title&gt;arXiv preprint arXiv:2210.15017&lt;/full-title&gt;&lt;/periodical&gt;&lt;dates&gt;&lt;year&gt;2022&lt;/year&gt;&lt;/dates&gt;&lt;urls&gt;&lt;/urls&gt;&lt;/record&gt;&lt;/Cite&gt;&lt;/EndNote&gt;</w:instrText>
      </w:r>
      <w:r w:rsidR="00B10B62" w:rsidRPr="00B10B62">
        <w:rPr>
          <w:sz w:val="20"/>
          <w:lang w:val="en-GB"/>
        </w:rPr>
        <w:fldChar w:fldCharType="separate"/>
      </w:r>
      <w:r w:rsidR="00B10B62" w:rsidRPr="00B10B62">
        <w:rPr>
          <w:noProof/>
          <w:sz w:val="20"/>
          <w:lang w:val="en-GB"/>
        </w:rPr>
        <w:t>[13]</w:t>
      </w:r>
      <w:r w:rsidR="00B10B62" w:rsidRPr="00B10B62">
        <w:rPr>
          <w:sz w:val="20"/>
          <w:lang w:val="en-GB"/>
        </w:rPr>
        <w:fldChar w:fldCharType="end"/>
      </w:r>
      <w:r w:rsidRPr="005A6091">
        <w:rPr>
          <w:sz w:val="20"/>
          <w:lang w:val="en-GB"/>
        </w:rPr>
        <w:t xml:space="preserve"> and </w:t>
      </w:r>
      <w:proofErr w:type="spellStart"/>
      <w:r w:rsidR="00473B24" w:rsidRPr="00473B24">
        <w:rPr>
          <w:sz w:val="20"/>
          <w:lang w:val="en-GB"/>
        </w:rPr>
        <w:t>Chaliasos</w:t>
      </w:r>
      <w:proofErr w:type="spellEnd"/>
      <w:r w:rsidR="00473B24" w:rsidRPr="00473B24">
        <w:rPr>
          <w:sz w:val="20"/>
          <w:lang w:val="en-GB"/>
        </w:rPr>
        <w:t xml:space="preserve"> </w:t>
      </w:r>
      <w:r w:rsidRPr="00473B24">
        <w:rPr>
          <w:sz w:val="20"/>
          <w:lang w:val="en-GB"/>
        </w:rPr>
        <w:t> et al. </w:t>
      </w:r>
      <w:r w:rsidR="00473B24" w:rsidRPr="00473B24">
        <w:rPr>
          <w:sz w:val="20"/>
          <w:lang w:val="en-GB"/>
        </w:rPr>
        <w:fldChar w:fldCharType="begin"/>
      </w:r>
      <w:r w:rsidR="00CE0D3C">
        <w:rPr>
          <w:sz w:val="20"/>
          <w:lang w:val="en-GB"/>
        </w:rPr>
        <w:instrText xml:space="preserve"> ADDIN EN.CITE &lt;EndNote&gt;&lt;Cite&gt;&lt;Author&gt;Chaliasos&lt;/Author&gt;&lt;Year&gt;2024&lt;/Year&gt;&lt;RecNum&gt;207&lt;/RecNum&gt;&lt;DisplayText&gt;[14]&lt;/DisplayText&gt;&lt;record&gt;&lt;rec-number&gt;207&lt;/rec-number&gt;&lt;foreign-keys&gt;&lt;key app="EN" db-id="xvtee90rp5v9toefwervx5ar0wf9pfs9v9ed" timestamp="1746940530" guid="4990fe46-1691-4129-82d8-ba7072fb4558"&gt;207&lt;/key&gt;&lt;/foreign-keys&gt;&lt;ref-type name="Conference Proceedings"&gt;10&lt;/ref-type&gt;&lt;contributors&gt;&lt;authors&gt;&lt;author&gt;Chaliasos, Stefanos&lt;/author&gt;&lt;author&gt;Reif, Itamar&lt;/author&gt;&lt;author&gt;Torralba-Agell, Adrià&lt;/author&gt;&lt;author&gt;Ernstberger, Jens&lt;/author&gt;&lt;author&gt;Kattis, Assimakis&lt;/author&gt;&lt;author&gt;Livshits, Benjamin&lt;/author&gt;&lt;/authors&gt;&lt;/contributors&gt;&lt;titles&gt;&lt;title&gt;Analyzing and benchmarking ZK-rollups&lt;/title&gt;&lt;secondary-title&gt;6th Conference on Advances in Financial Technologies (AFT 2024)&lt;/secondary-title&gt;&lt;/titles&gt;&lt;pages&gt;6: 1-6: 24&lt;/pages&gt;&lt;dates&gt;&lt;year&gt;2024&lt;/year&gt;&lt;/dates&gt;&lt;publisher&gt;Schloss Dagstuhl–Leibniz-Zentrum für Informatik&lt;/publisher&gt;&lt;urls&gt;&lt;/urls&gt;&lt;/record&gt;&lt;/Cite&gt;&lt;/EndNote&gt;</w:instrText>
      </w:r>
      <w:r w:rsidR="00473B24" w:rsidRPr="00473B24">
        <w:rPr>
          <w:sz w:val="20"/>
          <w:lang w:val="en-GB"/>
        </w:rPr>
        <w:fldChar w:fldCharType="separate"/>
      </w:r>
      <w:r w:rsidR="00473B24" w:rsidRPr="00473B24">
        <w:rPr>
          <w:noProof/>
          <w:sz w:val="20"/>
          <w:lang w:val="en-GB"/>
        </w:rPr>
        <w:t>[14]</w:t>
      </w:r>
      <w:r w:rsidR="00473B24" w:rsidRPr="00473B24">
        <w:rPr>
          <w:sz w:val="20"/>
          <w:lang w:val="en-GB"/>
        </w:rPr>
        <w:fldChar w:fldCharType="end"/>
      </w:r>
      <w:r w:rsidRPr="00473B24">
        <w:rPr>
          <w:sz w:val="20"/>
          <w:lang w:val="en-GB"/>
        </w:rPr>
        <w:t>,</w:t>
      </w:r>
      <w:r w:rsidRPr="005A6091">
        <w:rPr>
          <w:sz w:val="20"/>
          <w:lang w:val="en-GB"/>
        </w:rPr>
        <w:t xml:space="preserve"> who show 10–40× gas savings. However, their evaluations are synthetic</w:t>
      </w:r>
      <w:r>
        <w:rPr>
          <w:sz w:val="20"/>
          <w:lang w:val="en-GB"/>
        </w:rPr>
        <w:t xml:space="preserve"> </w:t>
      </w:r>
      <w:r w:rsidRPr="005A6091">
        <w:rPr>
          <w:sz w:val="20"/>
          <w:lang w:val="en-GB"/>
        </w:rPr>
        <w:t>deploying ERC</w:t>
      </w:r>
      <w:r w:rsidRPr="005A6091">
        <w:rPr>
          <w:sz w:val="20"/>
          <w:lang w:val="en-GB"/>
        </w:rPr>
        <w:noBreakHyphen/>
        <w:t>20 transfers, not full checkout flows.</w:t>
      </w:r>
      <w:r w:rsidR="008D3CEB">
        <w:rPr>
          <w:sz w:val="20"/>
          <w:lang w:val="en-GB"/>
        </w:rPr>
        <w:t xml:space="preserve"> </w:t>
      </w:r>
      <w:r w:rsidR="008D3CEB" w:rsidRPr="008D3CEB">
        <w:rPr>
          <w:sz w:val="20"/>
          <w:lang w:val="en-GB"/>
        </w:rPr>
        <w:t xml:space="preserve">Zero knowledge (ZK) roll ups push further. </w:t>
      </w:r>
      <w:proofErr w:type="spellStart"/>
      <w:r w:rsidR="008D3CEB" w:rsidRPr="008D3CEB">
        <w:rPr>
          <w:sz w:val="20"/>
          <w:lang w:val="en-GB"/>
        </w:rPr>
        <w:t>zkSync</w:t>
      </w:r>
      <w:proofErr w:type="spellEnd"/>
      <w:r w:rsidR="008D3CEB" w:rsidRPr="008D3CEB">
        <w:rPr>
          <w:sz w:val="20"/>
          <w:lang w:val="en-GB"/>
        </w:rPr>
        <w:t xml:space="preserve"> Era processed 10.2 M </w:t>
      </w:r>
      <w:proofErr w:type="spellStart"/>
      <w:r w:rsidR="008D3CEB" w:rsidRPr="008D3CEB">
        <w:rPr>
          <w:sz w:val="20"/>
          <w:lang w:val="en-GB"/>
        </w:rPr>
        <w:t>tx</w:t>
      </w:r>
      <w:proofErr w:type="spellEnd"/>
      <w:r w:rsidR="008D3CEB" w:rsidRPr="008D3CEB">
        <w:rPr>
          <w:sz w:val="20"/>
          <w:lang w:val="en-GB"/>
        </w:rPr>
        <w:t xml:space="preserve"> in </w:t>
      </w:r>
      <w:r w:rsidR="008D3CEB" w:rsidRPr="008D3CEB">
        <w:rPr>
          <w:sz w:val="20"/>
          <w:lang w:val="en-GB"/>
        </w:rPr>
        <w:lastRenderedPageBreak/>
        <w:t>February 202</w:t>
      </w:r>
      <w:r w:rsidR="00565D35">
        <w:rPr>
          <w:sz w:val="20"/>
          <w:lang w:val="en-GB"/>
        </w:rPr>
        <w:t>3</w:t>
      </w:r>
      <w:r w:rsidR="008D3CEB" w:rsidRPr="008D3CEB">
        <w:rPr>
          <w:sz w:val="20"/>
          <w:lang w:val="en-GB"/>
        </w:rPr>
        <w:t xml:space="preserve"> at ≈ USD 0.05 eac</w:t>
      </w:r>
      <w:r w:rsidR="007B537C">
        <w:rPr>
          <w:sz w:val="20"/>
          <w:lang w:val="en-GB"/>
        </w:rPr>
        <w:t>h</w:t>
      </w:r>
      <w:r w:rsidR="003E64C0">
        <w:rPr>
          <w:sz w:val="20"/>
          <w:lang w:val="en-GB"/>
        </w:rPr>
        <w:t xml:space="preserve"> </w:t>
      </w:r>
      <w:r w:rsidR="008D3CEB" w:rsidRPr="008D3CEB">
        <w:rPr>
          <w:sz w:val="20"/>
          <w:lang w:val="en-GB"/>
        </w:rPr>
        <w:t>Scroll reports EVM equivalence with 100 TPS on test net</w:t>
      </w:r>
      <w:r w:rsidR="00565D35">
        <w:rPr>
          <w:sz w:val="20"/>
          <w:lang w:val="en-GB"/>
        </w:rPr>
        <w:t xml:space="preserve"> </w:t>
      </w:r>
      <w:r w:rsidR="00D0512D">
        <w:rPr>
          <w:sz w:val="20"/>
          <w:lang w:val="en-GB"/>
        </w:rPr>
        <w:t xml:space="preserve">and </w:t>
      </w:r>
      <w:r w:rsidR="008D3CEB" w:rsidRPr="008D3CEB">
        <w:rPr>
          <w:sz w:val="20"/>
          <w:lang w:val="en-GB"/>
        </w:rPr>
        <w:t>compare prover time across circuits but ignore end-user latency, leaving open the question of real-world responsiveness</w:t>
      </w:r>
      <w:r w:rsidR="00D0512D">
        <w:rPr>
          <w:sz w:val="20"/>
          <w:lang w:val="en-GB"/>
        </w:rPr>
        <w:t xml:space="preserve"> </w:t>
      </w:r>
      <w:r w:rsidR="00D0512D">
        <w:rPr>
          <w:sz w:val="20"/>
          <w:lang w:val="en-GB"/>
        </w:rPr>
        <w:fldChar w:fldCharType="begin"/>
      </w:r>
      <w:r w:rsidR="00CE0D3C">
        <w:rPr>
          <w:sz w:val="20"/>
          <w:lang w:val="en-GB"/>
        </w:rPr>
        <w:instrText xml:space="preserve"> ADDIN EN.CITE &lt;EndNote&gt;&lt;Cite&gt;&lt;Author&gt;Nguyen Nhan&lt;/Author&gt;&lt;Year&gt;2024&lt;/Year&gt;&lt;RecNum&gt;208&lt;/RecNum&gt;&lt;DisplayText&gt;[15]&lt;/DisplayText&gt;&lt;record&gt;&lt;rec-number&gt;208&lt;/rec-number&gt;&lt;foreign-keys&gt;&lt;key app="EN" db-id="xvtee90rp5v9toefwervx5ar0wf9pfs9v9ed" timestamp="1746940935" guid="a410931a-de23-4f64-bc6a-5458d5d3c3bd"&gt;208&lt;/key&gt;&lt;/foreign-keys&gt;&lt;ref-type name="Thesis"&gt;32&lt;/ref-type&gt;&lt;contributors&gt;&lt;authors&gt;&lt;author&gt;Nguyen Nhan, Tai&lt;/author&gt;&lt;/authors&gt;&lt;/contributors&gt;&lt;titles&gt;&lt;title&gt;Ethereum Scaling Solutions: Exploring Zero-Knowledge Ethereum Virtual Machines and Their Applications&lt;/title&gt;&lt;/titles&gt;&lt;dates&gt;&lt;year&gt;2024&lt;/year&gt;&lt;/dates&gt;&lt;publisher&gt;Hochschule Mittweida&lt;/publisher&gt;&lt;urls&gt;&lt;/urls&gt;&lt;/record&gt;&lt;/Cite&gt;&lt;/EndNote&gt;</w:instrText>
      </w:r>
      <w:r w:rsidR="00D0512D">
        <w:rPr>
          <w:sz w:val="20"/>
          <w:lang w:val="en-GB"/>
        </w:rPr>
        <w:fldChar w:fldCharType="separate"/>
      </w:r>
      <w:r w:rsidR="00D0512D">
        <w:rPr>
          <w:noProof/>
          <w:sz w:val="20"/>
          <w:lang w:val="en-GB"/>
        </w:rPr>
        <w:t>[15]</w:t>
      </w:r>
      <w:r w:rsidR="00D0512D">
        <w:rPr>
          <w:sz w:val="20"/>
          <w:lang w:val="en-GB"/>
        </w:rPr>
        <w:fldChar w:fldCharType="end"/>
      </w:r>
      <w:r w:rsidR="008D3CEB" w:rsidRPr="008D3CEB">
        <w:rPr>
          <w:sz w:val="20"/>
          <w:lang w:val="en-GB"/>
        </w:rPr>
        <w:t>.</w:t>
      </w:r>
    </w:p>
    <w:p w14:paraId="415051FA" w14:textId="643CE6FA" w:rsidR="005A6091" w:rsidRPr="005A6091" w:rsidRDefault="005A6091" w:rsidP="006B1B5A">
      <w:pPr>
        <w:pStyle w:val="ListParagraph"/>
        <w:numPr>
          <w:ilvl w:val="0"/>
          <w:numId w:val="10"/>
        </w:numPr>
        <w:jc w:val="both"/>
        <w:rPr>
          <w:sz w:val="20"/>
          <w:lang w:val="en-GB"/>
        </w:rPr>
      </w:pPr>
      <w:r w:rsidRPr="005A6091">
        <w:rPr>
          <w:b/>
          <w:bCs/>
          <w:sz w:val="20"/>
        </w:rPr>
        <w:t>Account Abstraction for UX</w:t>
      </w:r>
      <w:r>
        <w:rPr>
          <w:b/>
          <w:bCs/>
          <w:sz w:val="20"/>
        </w:rPr>
        <w:t xml:space="preserve">: </w:t>
      </w:r>
      <w:r w:rsidRPr="005A6091">
        <w:rPr>
          <w:sz w:val="20"/>
          <w:lang w:val="en-GB"/>
        </w:rPr>
        <w:t xml:space="preserve">ERC‑4337 account abstraction enables gas sponsorship and multi‑factor wallets, as analysed by </w:t>
      </w:r>
      <w:r w:rsidR="001339C1">
        <w:rPr>
          <w:sz w:val="20"/>
          <w:lang w:val="en-GB"/>
        </w:rPr>
        <w:t>Stoica</w:t>
      </w:r>
      <w:r w:rsidRPr="005A6091">
        <w:rPr>
          <w:sz w:val="20"/>
          <w:lang w:val="en-GB"/>
        </w:rPr>
        <w:t> et al. </w:t>
      </w:r>
      <w:r w:rsidR="001339C1">
        <w:rPr>
          <w:sz w:val="20"/>
          <w:lang w:val="en-GB"/>
        </w:rPr>
        <w:fldChar w:fldCharType="begin"/>
      </w:r>
      <w:r w:rsidR="00CE0D3C">
        <w:rPr>
          <w:sz w:val="20"/>
          <w:lang w:val="en-GB"/>
        </w:rPr>
        <w:instrText xml:space="preserve"> ADDIN EN.CITE &lt;EndNote&gt;&lt;Cite&gt;&lt;Author&gt;Stoica&lt;/Author&gt;&lt;Year&gt;2023&lt;/Year&gt;&lt;RecNum&gt;209&lt;/RecNum&gt;&lt;DisplayText&gt;[16]&lt;/DisplayText&gt;&lt;record&gt;&lt;rec-number&gt;209&lt;/rec-number&gt;&lt;foreign-keys&gt;&lt;key app="EN" db-id="xvtee90rp5v9toefwervx5ar0wf9pfs9v9ed" timestamp="1746941104" guid="5094da43-7b94-42a8-9073-3c8aaf1d26ff"&gt;209&lt;/key&gt;&lt;/foreign-keys&gt;&lt;ref-type name="Journal Article"&gt;17&lt;/ref-type&gt;&lt;contributors&gt;&lt;authors&gt;&lt;author&gt;Stoica, Gabriel-Marius&lt;/author&gt;&lt;/authors&gt;&lt;/contributors&gt;&lt;titles&gt;&lt;title&gt;Account Abstraction on Ethereum&lt;/title&gt;&lt;secondary-title&gt;Romanian Cyber Security Journal&lt;/secondary-title&gt;&lt;/titles&gt;&lt;periodical&gt;&lt;full-title&gt;Romanian Cyber Security Journal&lt;/full-title&gt;&lt;/periodical&gt;&lt;pages&gt;37-44&lt;/pages&gt;&lt;volume&gt;5&lt;/volume&gt;&lt;number&gt;2&lt;/number&gt;&lt;dates&gt;&lt;year&gt;2023&lt;/year&gt;&lt;/dates&gt;&lt;urls&gt;&lt;/urls&gt;&lt;/record&gt;&lt;/Cite&gt;&lt;/EndNote&gt;</w:instrText>
      </w:r>
      <w:r w:rsidR="001339C1">
        <w:rPr>
          <w:sz w:val="20"/>
          <w:lang w:val="en-GB"/>
        </w:rPr>
        <w:fldChar w:fldCharType="separate"/>
      </w:r>
      <w:r w:rsidR="001339C1">
        <w:rPr>
          <w:noProof/>
          <w:sz w:val="20"/>
          <w:lang w:val="en-GB"/>
        </w:rPr>
        <w:t>[16]</w:t>
      </w:r>
      <w:r w:rsidR="001339C1">
        <w:rPr>
          <w:sz w:val="20"/>
          <w:lang w:val="en-GB"/>
        </w:rPr>
        <w:fldChar w:fldCharType="end"/>
      </w:r>
      <w:r w:rsidRPr="005A6091">
        <w:rPr>
          <w:sz w:val="20"/>
          <w:lang w:val="en-GB"/>
        </w:rPr>
        <w:t>. They demonstrate 40 % lower abandonment in a sandbox study, yet their cost analysis assumes static gas prices and omits L2 batching effects.</w:t>
      </w:r>
      <w:r>
        <w:rPr>
          <w:sz w:val="20"/>
          <w:lang w:val="en-GB"/>
        </w:rPr>
        <w:t xml:space="preserve"> </w:t>
      </w:r>
      <w:r w:rsidRPr="005A6091">
        <w:rPr>
          <w:sz w:val="20"/>
          <w:lang w:val="en-GB"/>
        </w:rPr>
        <w:t>Roll‑ups and account abstraction collectively promise sub‑cent fees and card‑like UX. Nonetheless, no study has integrated these primitives into a production storefront and measured both economic and performance outcomes under realistic load</w:t>
      </w:r>
      <w:r w:rsidR="007C315B">
        <w:rPr>
          <w:sz w:val="20"/>
          <w:lang w:val="en-GB"/>
        </w:rPr>
        <w:t xml:space="preserve"> </w:t>
      </w:r>
      <w:r w:rsidRPr="005A6091">
        <w:rPr>
          <w:sz w:val="20"/>
          <w:lang w:val="en-GB"/>
        </w:rPr>
        <w:t>the focus of the present work.</w:t>
      </w:r>
    </w:p>
    <w:p w14:paraId="72481F4C" w14:textId="46E08798" w:rsidR="006521FB" w:rsidRDefault="0075366C" w:rsidP="006B1B5A">
      <w:pPr>
        <w:pStyle w:val="figurecaption"/>
        <w:numPr>
          <w:ilvl w:val="0"/>
          <w:numId w:val="0"/>
        </w:numPr>
        <w:spacing w:before="240" w:after="240"/>
        <w:jc w:val="center"/>
        <w:rPr>
          <w:rFonts w:eastAsia="Times New Roman"/>
          <w:b/>
          <w:noProof w:val="0"/>
          <w:sz w:val="24"/>
          <w:szCs w:val="20"/>
        </w:rPr>
      </w:pPr>
      <w:r w:rsidRPr="0075366C">
        <w:rPr>
          <w:rFonts w:eastAsia="Times New Roman"/>
          <w:b/>
          <w:noProof w:val="0"/>
          <w:sz w:val="24"/>
          <w:szCs w:val="20"/>
        </w:rPr>
        <w:t>Security and Compliance Considerations</w:t>
      </w:r>
      <w:r w:rsidR="00923DB6">
        <w:rPr>
          <w:rFonts w:eastAsia="Times New Roman"/>
          <w:b/>
          <w:noProof w:val="0"/>
          <w:sz w:val="24"/>
          <w:szCs w:val="20"/>
        </w:rPr>
        <w:t xml:space="preserve"> with </w:t>
      </w:r>
      <w:r w:rsidR="00923DB6" w:rsidRPr="00D73531">
        <w:rPr>
          <w:rFonts w:eastAsia="Times New Roman"/>
          <w:b/>
          <w:noProof w:val="0"/>
          <w:sz w:val="24"/>
          <w:szCs w:val="20"/>
        </w:rPr>
        <w:t>Identified Research Gap</w:t>
      </w:r>
    </w:p>
    <w:p w14:paraId="3D204414" w14:textId="7B065B1A" w:rsidR="0075366C" w:rsidRPr="006A6A49" w:rsidRDefault="00D73531" w:rsidP="006B1B5A">
      <w:pPr>
        <w:pStyle w:val="figurecaption"/>
        <w:numPr>
          <w:ilvl w:val="0"/>
          <w:numId w:val="0"/>
        </w:numPr>
        <w:tabs>
          <w:tab w:val="clear" w:pos="533"/>
        </w:tabs>
        <w:spacing w:before="0" w:after="0"/>
        <w:ind w:firstLine="288"/>
        <w:rPr>
          <w:sz w:val="20"/>
          <w:szCs w:val="20"/>
          <w:lang w:val="en-GB"/>
        </w:rPr>
      </w:pPr>
      <w:r w:rsidRPr="00D73531">
        <w:rPr>
          <w:sz w:val="20"/>
          <w:szCs w:val="20"/>
          <w:lang w:val="en-GB"/>
        </w:rPr>
        <w:t xml:space="preserve">Security audits of payment smart contracts highlight </w:t>
      </w:r>
      <w:r w:rsidR="00960364">
        <w:rPr>
          <w:sz w:val="20"/>
          <w:lang w:val="en-GB"/>
        </w:rPr>
        <w:t>re-entrancy and integer-overflow as primary risks, extending the analysis to roll-up bridges, identifying prover-timeout</w:t>
      </w:r>
      <w:r w:rsidRPr="00D73531">
        <w:rPr>
          <w:sz w:val="20"/>
          <w:szCs w:val="20"/>
          <w:lang w:val="en-GB"/>
        </w:rPr>
        <w:t xml:space="preserve"> exploits</w:t>
      </w:r>
      <w:r w:rsidRPr="00CE0D3C">
        <w:rPr>
          <w:sz w:val="20"/>
          <w:szCs w:val="20"/>
          <w:lang w:val="en-GB"/>
        </w:rPr>
        <w:t>. Regulatory papers</w:t>
      </w:r>
      <w:r w:rsidR="00CE0D3C" w:rsidRPr="00CE0D3C">
        <w:rPr>
          <w:sz w:val="20"/>
          <w:szCs w:val="20"/>
          <w:lang w:val="en-GB"/>
        </w:rPr>
        <w:t xml:space="preserve"> </w:t>
      </w:r>
      <w:r w:rsidR="00CE0D3C" w:rsidRPr="00CE0D3C">
        <w:rPr>
          <w:sz w:val="20"/>
          <w:szCs w:val="20"/>
          <w:lang w:val="en-GB"/>
        </w:rPr>
        <w:fldChar w:fldCharType="begin"/>
      </w:r>
      <w:r w:rsidR="00CE0D3C" w:rsidRPr="00CE0D3C">
        <w:rPr>
          <w:sz w:val="20"/>
          <w:szCs w:val="20"/>
          <w:lang w:val="en-GB"/>
        </w:rPr>
        <w:instrText xml:space="preserve"> ADDIN EN.CITE &lt;EndNote&gt;&lt;Cite&gt;&lt;Author&gt;Wronka&lt;/Author&gt;&lt;Year&gt;2024&lt;/Year&gt;&lt;RecNum&gt;210&lt;/RecNum&gt;&lt;DisplayText&gt;[17]&lt;/DisplayText&gt;&lt;record&gt;&lt;rec-number&gt;210&lt;/rec-number&gt;&lt;foreign-keys&gt;&lt;key app="EN" db-id="xvtee90rp5v9toefwervx5ar0wf9pfs9v9ed" timestamp="1746941739"&gt;210&lt;/key&gt;&lt;/foreign-keys&gt;&lt;ref-type name="Journal Article"&gt;17&lt;/ref-type&gt;&lt;contributors&gt;&lt;authors&gt;&lt;author&gt;Wronka, Christoph&lt;/author&gt;&lt;/authors&gt;&lt;/contributors&gt;&lt;titles&gt;&lt;title&gt;Crypto-asset regulatory landscape: a comparative analysis of the crypto-asset regulation in the UK and Germany&lt;/title&gt;&lt;secondary-title&gt;Journal of Asset Management&lt;/secondary-title&gt;&lt;/titles&gt;&lt;periodical&gt;&lt;full-title&gt;Journal of Asset Management&lt;/full-title&gt;&lt;/periodical&gt;&lt;pages&gt;417-426&lt;/pages&gt;&lt;volume&gt;25&lt;/volume&gt;&lt;number&gt;4&lt;/number&gt;&lt;dates&gt;&lt;year&gt;2024&lt;/year&gt;&lt;/dates&gt;&lt;isbn&gt;1470-8272&lt;/isbn&gt;&lt;urls&gt;&lt;/urls&gt;&lt;/record&gt;&lt;/Cite&gt;&lt;/EndNote&gt;</w:instrText>
      </w:r>
      <w:r w:rsidR="00CE0D3C" w:rsidRPr="00CE0D3C">
        <w:rPr>
          <w:sz w:val="20"/>
          <w:szCs w:val="20"/>
          <w:lang w:val="en-GB"/>
        </w:rPr>
        <w:fldChar w:fldCharType="separate"/>
      </w:r>
      <w:r w:rsidR="00CE0D3C" w:rsidRPr="00CE0D3C">
        <w:rPr>
          <w:sz w:val="20"/>
          <w:szCs w:val="20"/>
          <w:lang w:val="en-GB"/>
        </w:rPr>
        <w:t>[17]</w:t>
      </w:r>
      <w:r w:rsidR="00CE0D3C" w:rsidRPr="00CE0D3C">
        <w:rPr>
          <w:sz w:val="20"/>
          <w:szCs w:val="20"/>
          <w:lang w:val="en-GB"/>
        </w:rPr>
        <w:fldChar w:fldCharType="end"/>
      </w:r>
      <w:r w:rsidRPr="00CE0D3C">
        <w:rPr>
          <w:sz w:val="20"/>
          <w:szCs w:val="20"/>
          <w:lang w:val="en-GB"/>
        </w:rPr>
        <w:t>;</w:t>
      </w:r>
      <w:r w:rsidRPr="00D73531">
        <w:rPr>
          <w:sz w:val="20"/>
          <w:szCs w:val="20"/>
          <w:lang w:val="en-GB"/>
        </w:rPr>
        <w:t xml:space="preserve"> </w:t>
      </w:r>
      <w:r w:rsidRPr="006A6A49">
        <w:rPr>
          <w:sz w:val="20"/>
          <w:szCs w:val="20"/>
          <w:lang w:val="en-GB"/>
        </w:rPr>
        <w:t>Malaysia</w:t>
      </w:r>
      <w:r w:rsidR="006A6A49" w:rsidRPr="006A6A49">
        <w:rPr>
          <w:sz w:val="20"/>
          <w:szCs w:val="20"/>
          <w:lang w:val="en-GB"/>
        </w:rPr>
        <w:t xml:space="preserve"> Securities</w:t>
      </w:r>
      <w:r w:rsidR="006A6A49">
        <w:rPr>
          <w:sz w:val="20"/>
          <w:szCs w:val="20"/>
          <w:lang w:val="en-GB"/>
        </w:rPr>
        <w:t xml:space="preserve"> </w:t>
      </w:r>
      <w:r w:rsidR="006A6A49" w:rsidRPr="006A6A49">
        <w:rPr>
          <w:sz w:val="20"/>
          <w:szCs w:val="20"/>
          <w:lang w:val="en-GB"/>
        </w:rPr>
        <w:t>Commission Malaysia (SC)</w:t>
      </w:r>
      <w:r w:rsidRPr="006A6A49">
        <w:rPr>
          <w:sz w:val="20"/>
          <w:szCs w:val="20"/>
          <w:lang w:val="en-GB"/>
        </w:rPr>
        <w:t xml:space="preserve"> 202</w:t>
      </w:r>
      <w:r w:rsidR="006A6A49" w:rsidRPr="006A6A49">
        <w:rPr>
          <w:sz w:val="20"/>
          <w:szCs w:val="20"/>
          <w:lang w:val="en-GB"/>
        </w:rPr>
        <w:t>4</w:t>
      </w:r>
      <w:r w:rsidRPr="006A6A49">
        <w:rPr>
          <w:sz w:val="20"/>
          <w:szCs w:val="20"/>
          <w:lang w:val="en-GB"/>
        </w:rPr>
        <w:t> </w:t>
      </w:r>
      <w:r w:rsidR="006A6A49" w:rsidRPr="006A6A49">
        <w:rPr>
          <w:sz w:val="20"/>
          <w:szCs w:val="20"/>
          <w:lang w:val="en-GB"/>
        </w:rPr>
        <w:fldChar w:fldCharType="begin"/>
      </w:r>
      <w:r w:rsidR="006A6A49" w:rsidRPr="006A6A49">
        <w:rPr>
          <w:sz w:val="20"/>
          <w:szCs w:val="20"/>
          <w:lang w:val="en-GB"/>
        </w:rPr>
        <w:instrText xml:space="preserve"> ADDIN EN.CITE &lt;EndNote&gt;&lt;Cite&gt;&lt;Author&gt;Sufian&lt;/Author&gt;&lt;Year&gt;2024&lt;/Year&gt;&lt;RecNum&gt;211&lt;/RecNum&gt;&lt;DisplayText&gt;[18]&lt;/DisplayText&gt;&lt;record&gt;&lt;rec-number&gt;211&lt;/rec-number&gt;&lt;foreign-keys&gt;&lt;key app="EN" db-id="xvtee90rp5v9toefwervx5ar0wf9pfs9v9ed" timestamp="1746941815"&gt;211&lt;/key&gt;&lt;/foreign-keys&gt;&lt;ref-type name="Journal Article"&gt;17&lt;/ref-type&gt;&lt;contributors&gt;&lt;authors&gt;&lt;author&gt;Sufian, Muhammad HafizuddinSufia&lt;/author&gt;&lt;author&gt;Syahril, Nur Amisha Sutan&lt;/author&gt;&lt;author&gt;Ghapa, Norhasliza&lt;/author&gt;&lt;/authors&gt;&lt;/contributors&gt;&lt;titles&gt;&lt;title&gt;Regulatory Framework for Cryptocurrency: A Comparative Analysis of Malaysia, Indonesia and Singapore&lt;/title&gt;&lt;secondary-title&gt;Malaysian Journal of Social Sciences and Humanities (MJSSH)&lt;/secondary-title&gt;&lt;/titles&gt;&lt;periodical&gt;&lt;full-title&gt;Malaysian Journal of Social Sciences and Humanities (MJSSH)&lt;/full-title&gt;&lt;/periodical&gt;&lt;pages&gt;e003113-e003113&lt;/pages&gt;&lt;volume&gt;9&lt;/volume&gt;&lt;number&gt;11&lt;/number&gt;&lt;dates&gt;&lt;year&gt;2024&lt;/year&gt;&lt;/dates&gt;&lt;isbn&gt;2504-8562&lt;/isbn&gt;&lt;urls&gt;&lt;/urls&gt;&lt;/record&gt;&lt;/Cite&gt;&lt;/EndNote&gt;</w:instrText>
      </w:r>
      <w:r w:rsidR="006A6A49" w:rsidRPr="006A6A49">
        <w:rPr>
          <w:sz w:val="20"/>
          <w:szCs w:val="20"/>
          <w:lang w:val="en-GB"/>
        </w:rPr>
        <w:fldChar w:fldCharType="separate"/>
      </w:r>
      <w:r w:rsidR="006A6A49" w:rsidRPr="006A6A49">
        <w:rPr>
          <w:sz w:val="20"/>
          <w:szCs w:val="20"/>
          <w:lang w:val="en-GB"/>
        </w:rPr>
        <w:t>[18]</w:t>
      </w:r>
      <w:r w:rsidR="006A6A49" w:rsidRPr="006A6A49">
        <w:rPr>
          <w:sz w:val="20"/>
          <w:szCs w:val="20"/>
          <w:lang w:val="en-GB"/>
        </w:rPr>
        <w:fldChar w:fldCharType="end"/>
      </w:r>
      <w:r w:rsidRPr="006A6A49">
        <w:rPr>
          <w:sz w:val="20"/>
          <w:szCs w:val="20"/>
          <w:lang w:val="en-GB"/>
        </w:rPr>
        <w:t xml:space="preserve"> stress </w:t>
      </w:r>
      <w:r w:rsidR="00960364">
        <w:rPr>
          <w:sz w:val="20"/>
          <w:szCs w:val="20"/>
          <w:lang w:val="en-GB"/>
        </w:rPr>
        <w:t xml:space="preserve">that </w:t>
      </w:r>
      <w:r w:rsidRPr="006A6A49">
        <w:rPr>
          <w:sz w:val="20"/>
          <w:szCs w:val="20"/>
          <w:lang w:val="en-GB"/>
        </w:rPr>
        <w:t>custody rules and data</w:t>
      </w:r>
      <w:r w:rsidRPr="006A6A49">
        <w:rPr>
          <w:sz w:val="20"/>
          <w:szCs w:val="20"/>
          <w:lang w:val="en-GB"/>
        </w:rPr>
        <w:noBreakHyphen/>
        <w:t xml:space="preserve">privacy obligations </w:t>
      </w:r>
      <w:r w:rsidR="00877F1D">
        <w:rPr>
          <w:sz w:val="20"/>
          <w:szCs w:val="20"/>
          <w:lang w:val="en-GB"/>
        </w:rPr>
        <w:t xml:space="preserve">are </w:t>
      </w:r>
      <w:r w:rsidRPr="006A6A49">
        <w:rPr>
          <w:sz w:val="20"/>
          <w:szCs w:val="20"/>
          <w:lang w:val="en-GB"/>
        </w:rPr>
        <w:t>often sidelined in purely technical literature.  While prior work catalogues technical and regulatory risks, little empirical data exist on whether L2 designs can satisfy PCI</w:t>
      </w:r>
      <w:r w:rsidRPr="006A6A49">
        <w:rPr>
          <w:sz w:val="20"/>
          <w:szCs w:val="20"/>
          <w:lang w:val="en-GB"/>
        </w:rPr>
        <w:noBreakHyphen/>
        <w:t>DSS</w:t>
      </w:r>
      <w:r w:rsidR="00877F1D">
        <w:rPr>
          <w:sz w:val="20"/>
          <w:szCs w:val="20"/>
          <w:lang w:val="en-GB"/>
        </w:rPr>
        <w:t>-</w:t>
      </w:r>
      <w:r w:rsidRPr="006A6A49">
        <w:rPr>
          <w:sz w:val="20"/>
          <w:szCs w:val="20"/>
          <w:lang w:val="en-GB"/>
        </w:rPr>
        <w:t>like controls or national payment regulations. Ecochain addresses this gap through an integrated security audit and compliance mapping.</w:t>
      </w:r>
    </w:p>
    <w:p w14:paraId="06538577" w14:textId="346E0018" w:rsidR="004C31BE" w:rsidRPr="00AF67D0" w:rsidRDefault="00790B6F" w:rsidP="006B1B5A">
      <w:pPr>
        <w:pStyle w:val="figurecaption"/>
        <w:numPr>
          <w:ilvl w:val="0"/>
          <w:numId w:val="0"/>
        </w:numPr>
        <w:spacing w:before="0" w:after="0"/>
        <w:ind w:firstLine="288"/>
        <w:rPr>
          <w:sz w:val="20"/>
          <w:szCs w:val="20"/>
          <w:lang w:val="en-GB"/>
        </w:rPr>
      </w:pPr>
      <w:r w:rsidRPr="00790B6F">
        <w:rPr>
          <w:sz w:val="20"/>
          <w:szCs w:val="20"/>
          <w:lang w:val="en-GB"/>
        </w:rPr>
        <w:t xml:space="preserve">The review reveals (i) </w:t>
      </w:r>
      <w:r w:rsidRPr="00790B6F">
        <w:rPr>
          <w:i/>
          <w:iCs/>
          <w:sz w:val="20"/>
          <w:szCs w:val="20"/>
          <w:lang w:val="en-GB"/>
        </w:rPr>
        <w:t>quantified cost pain points</w:t>
      </w:r>
      <w:r w:rsidRPr="00790B6F">
        <w:rPr>
          <w:sz w:val="20"/>
          <w:szCs w:val="20"/>
          <w:lang w:val="en-GB"/>
        </w:rPr>
        <w:t xml:space="preserve"> in PSPs, (ii) </w:t>
      </w:r>
      <w:r w:rsidRPr="00790B6F">
        <w:rPr>
          <w:i/>
          <w:iCs/>
          <w:sz w:val="20"/>
          <w:szCs w:val="20"/>
          <w:lang w:val="en-GB"/>
        </w:rPr>
        <w:t>scalable but under</w:t>
      </w:r>
      <w:r w:rsidR="00960364">
        <w:rPr>
          <w:i/>
          <w:iCs/>
          <w:sz w:val="20"/>
          <w:szCs w:val="20"/>
          <w:lang w:val="en-GB"/>
        </w:rPr>
        <w:t>-</w:t>
      </w:r>
      <w:r w:rsidRPr="00790B6F">
        <w:rPr>
          <w:i/>
          <w:iCs/>
          <w:sz w:val="20"/>
          <w:szCs w:val="20"/>
          <w:lang w:val="en-GB"/>
        </w:rPr>
        <w:t>evaluated</w:t>
      </w:r>
      <w:r w:rsidRPr="00790B6F">
        <w:rPr>
          <w:sz w:val="20"/>
          <w:szCs w:val="20"/>
          <w:lang w:val="en-GB"/>
        </w:rPr>
        <w:t xml:space="preserve"> L2 primitives, and (iii) </w:t>
      </w:r>
      <w:r w:rsidRPr="00790B6F">
        <w:rPr>
          <w:i/>
          <w:iCs/>
          <w:sz w:val="20"/>
          <w:szCs w:val="20"/>
          <w:lang w:val="en-GB"/>
        </w:rPr>
        <w:t>unresolved security/compliance</w:t>
      </w:r>
      <w:r w:rsidRPr="00790B6F">
        <w:rPr>
          <w:sz w:val="20"/>
          <w:szCs w:val="20"/>
          <w:lang w:val="en-GB"/>
        </w:rPr>
        <w:t xml:space="preserve"> questions. No published study to date has experimentally verified that a roll</w:t>
      </w:r>
      <w:r>
        <w:rPr>
          <w:sz w:val="20"/>
          <w:szCs w:val="20"/>
          <w:lang w:val="en-GB"/>
        </w:rPr>
        <w:t>-</w:t>
      </w:r>
      <w:r w:rsidRPr="00790B6F">
        <w:rPr>
          <w:sz w:val="20"/>
          <w:szCs w:val="20"/>
          <w:lang w:val="en-GB"/>
        </w:rPr>
        <w:t>up</w:t>
      </w:r>
      <w:r w:rsidRPr="00790B6F">
        <w:rPr>
          <w:sz w:val="20"/>
          <w:szCs w:val="20"/>
          <w:lang w:val="en-GB"/>
        </w:rPr>
        <w:noBreakHyphen/>
        <w:t>driven gateway can deliver &lt; 0.5 % fees, sub</w:t>
      </w:r>
      <w:r>
        <w:rPr>
          <w:sz w:val="20"/>
          <w:szCs w:val="20"/>
          <w:lang w:val="en-GB"/>
        </w:rPr>
        <w:t>-three-</w:t>
      </w:r>
      <w:r w:rsidRPr="00790B6F">
        <w:rPr>
          <w:sz w:val="20"/>
          <w:szCs w:val="20"/>
          <w:lang w:val="en-GB"/>
        </w:rPr>
        <w:t>second latency, and PCI</w:t>
      </w:r>
      <w:r>
        <w:rPr>
          <w:sz w:val="20"/>
          <w:szCs w:val="20"/>
          <w:lang w:val="en-GB"/>
        </w:rPr>
        <w:t>-</w:t>
      </w:r>
      <w:r w:rsidRPr="00790B6F">
        <w:rPr>
          <w:sz w:val="20"/>
          <w:szCs w:val="20"/>
          <w:lang w:val="en-GB"/>
        </w:rPr>
        <w:t>aligned security on commodity hardware. Ecochain is designed to fill this void and to answer the three research questions articulated in Section 1.</w:t>
      </w:r>
    </w:p>
    <w:p w14:paraId="0E7F9973" w14:textId="5B08C069" w:rsidR="004C31BE" w:rsidRDefault="004C31BE" w:rsidP="004C31BE">
      <w:pPr>
        <w:pStyle w:val="Heading1"/>
      </w:pPr>
      <w:r>
        <w:t>METHODOLOGY</w:t>
      </w:r>
    </w:p>
    <w:p w14:paraId="0F353782" w14:textId="37A359ED" w:rsidR="004C31BE" w:rsidRDefault="0074199B" w:rsidP="00A7399D">
      <w:pPr>
        <w:spacing w:before="240" w:after="240"/>
        <w:ind w:firstLine="288"/>
        <w:jc w:val="both"/>
        <w:rPr>
          <w:sz w:val="20"/>
        </w:rPr>
      </w:pPr>
      <w:r>
        <w:rPr>
          <w:sz w:val="20"/>
        </w:rPr>
        <w:t>T</w:t>
      </w:r>
      <w:r w:rsidR="004C31BE" w:rsidRPr="004C31BE">
        <w:rPr>
          <w:sz w:val="20"/>
        </w:rPr>
        <w:t>h</w:t>
      </w:r>
      <w:bookmarkStart w:id="3" w:name="_Hlk196498676"/>
      <w:r w:rsidR="004C31BE" w:rsidRPr="004C31BE">
        <w:rPr>
          <w:sz w:val="20"/>
        </w:rPr>
        <w:t xml:space="preserve">is </w:t>
      </w:r>
      <w:r>
        <w:rPr>
          <w:sz w:val="20"/>
        </w:rPr>
        <w:t xml:space="preserve">paper </w:t>
      </w:r>
      <w:r w:rsidR="004C31BE" w:rsidRPr="004C31BE">
        <w:rPr>
          <w:sz w:val="20"/>
        </w:rPr>
        <w:t xml:space="preserve">outlines the </w:t>
      </w:r>
      <w:r>
        <w:rPr>
          <w:sz w:val="20"/>
        </w:rPr>
        <w:t>methodology</w:t>
      </w:r>
      <w:r w:rsidR="004C31BE" w:rsidRPr="004C31BE">
        <w:rPr>
          <w:sz w:val="20"/>
        </w:rPr>
        <w:t xml:space="preserve"> for implementing </w:t>
      </w:r>
      <w:proofErr w:type="spellStart"/>
      <w:r w:rsidR="004C31BE" w:rsidRPr="004C31BE">
        <w:rPr>
          <w:sz w:val="20"/>
        </w:rPr>
        <w:t>Ecochain</w:t>
      </w:r>
      <w:proofErr w:type="spellEnd"/>
      <w:r w:rsidR="004C31BE" w:rsidRPr="004C31BE">
        <w:rPr>
          <w:sz w:val="20"/>
        </w:rPr>
        <w:t xml:space="preserve">, a blockchain-based solution aimed at reducing transaction costs in e-commerce. By leveraging Layer 2 blockchain technology, </w:t>
      </w:r>
      <w:proofErr w:type="spellStart"/>
      <w:r w:rsidR="004C31BE" w:rsidRPr="004C31BE">
        <w:rPr>
          <w:sz w:val="20"/>
        </w:rPr>
        <w:t>Ecochain</w:t>
      </w:r>
      <w:proofErr w:type="spellEnd"/>
      <w:r w:rsidR="004C31BE" w:rsidRPr="004C31BE">
        <w:rPr>
          <w:sz w:val="20"/>
        </w:rPr>
        <w:t xml:space="preserve"> addresses the inefficiencies and high fees inherent in traditional e-commerce platforms. These inefficiencies, often caused by multiple intermediaries in payment processing, impose significant costs on both small and large transactions.</w:t>
      </w:r>
    </w:p>
    <w:p w14:paraId="42AB2CD6" w14:textId="4F3F0EFD" w:rsidR="004C31BE" w:rsidRDefault="00762857" w:rsidP="006B1B5A">
      <w:pPr>
        <w:pStyle w:val="Heading2"/>
      </w:pPr>
      <w:r w:rsidRPr="00762857">
        <w:t>System Architecture</w:t>
      </w:r>
      <w:r w:rsidR="00814B29">
        <w:t xml:space="preserve"> and Smart Contract Development</w:t>
      </w:r>
    </w:p>
    <w:p w14:paraId="00E61A50" w14:textId="4B06E979" w:rsidR="00BE07E3" w:rsidRDefault="00D934C9" w:rsidP="006B1B5A">
      <w:pPr>
        <w:pStyle w:val="Paragraph"/>
        <w:ind w:firstLine="288"/>
      </w:pPr>
      <w:proofErr w:type="spellStart"/>
      <w:r w:rsidRPr="00D934C9">
        <w:t>Ecochain</w:t>
      </w:r>
      <w:proofErr w:type="spellEnd"/>
      <w:r w:rsidRPr="00D934C9">
        <w:t xml:space="preserve"> employs a four‑tier architecture</w:t>
      </w:r>
      <w:r>
        <w:t xml:space="preserve"> </w:t>
      </w:r>
      <w:r w:rsidRPr="001A0415">
        <w:fldChar w:fldCharType="begin"/>
      </w:r>
      <w:r>
        <w:instrText xml:space="preserve"> REF _Ref197864987 \h  \* MERGEFORMAT </w:instrText>
      </w:r>
      <w:r w:rsidRPr="001A0415">
        <w:fldChar w:fldCharType="separate"/>
      </w:r>
      <w:r w:rsidR="005B631B" w:rsidRPr="005B631B">
        <w:t>FIGURE 2</w:t>
      </w:r>
      <w:r w:rsidRPr="001A0415">
        <w:fldChar w:fldCharType="end"/>
      </w:r>
      <w:r w:rsidRPr="00DB32F4">
        <w:t xml:space="preserve"> </w:t>
      </w:r>
      <w:r w:rsidRPr="00D934C9">
        <w:t xml:space="preserve">that cleanly isolates user interaction, batching, settlement, and audit storage: the Storefront, built as a Shopify App Bridge plug‑in in TypeScript, captures order metadata, invokes </w:t>
      </w:r>
      <w:proofErr w:type="spellStart"/>
      <w:r w:rsidRPr="00D934C9">
        <w:t>WalletConnect</w:t>
      </w:r>
      <w:proofErr w:type="spellEnd"/>
      <w:r w:rsidRPr="00D934C9">
        <w:t xml:space="preserve"> for customer signatures, and streams the signed payloads to the Aggregator via a persistent </w:t>
      </w:r>
      <w:proofErr w:type="spellStart"/>
      <w:r w:rsidRPr="00D934C9">
        <w:t>submitOrder</w:t>
      </w:r>
      <w:proofErr w:type="spellEnd"/>
      <w:r w:rsidRPr="00D934C9">
        <w:t xml:space="preserve"> WebSocket while holding no private keys</w:t>
      </w:r>
      <w:r w:rsidR="005D237B">
        <w:t xml:space="preserve"> </w:t>
      </w:r>
      <w:r w:rsidRPr="00D934C9">
        <w:t xml:space="preserve">thus complying with PCI’s “no card data” rule; the Aggregator Service, a stateless Node.js micro‑service, buffers orders in memory, and every two seconds produces a Merkle root, generates a </w:t>
      </w:r>
      <w:proofErr w:type="spellStart"/>
      <w:r w:rsidRPr="00D934C9">
        <w:t>zkEVM</w:t>
      </w:r>
      <w:proofErr w:type="spellEnd"/>
      <w:r w:rsidRPr="00D934C9">
        <w:t xml:space="preserve"> proof, and submits a roll‑up transaction, exposing a REST callback for Storefront status polling; the Settlement Contracts, deployed on Polygon </w:t>
      </w:r>
      <w:proofErr w:type="spellStart"/>
      <w:r w:rsidRPr="00D934C9">
        <w:t>PoS</w:t>
      </w:r>
      <w:proofErr w:type="spellEnd"/>
      <w:r w:rsidRPr="00D934C9">
        <w:t>, verify those proofs, update merchants’ on‑chain order books, and trigger USDC payouts, with an access‑controlled withdraw() for sweeping funds to cold storage; and finally the Data &amp; Compliance layer pins order receipts to IPFS for transparency while logging hashed PANs and AVS flags to a VPC‑hosted PostgreSQL instance, leaving head‑room for regional modules such as GDPR “right to erasure.</w:t>
      </w:r>
    </w:p>
    <w:p w14:paraId="53686FFD" w14:textId="77777777" w:rsidR="002A4B22" w:rsidRDefault="002A4B22" w:rsidP="006B1B5A">
      <w:pPr>
        <w:ind w:firstLine="288"/>
        <w:jc w:val="both"/>
        <w:rPr>
          <w:sz w:val="20"/>
        </w:rPr>
      </w:pPr>
      <w:r w:rsidRPr="00BE07E3">
        <w:rPr>
          <w:sz w:val="20"/>
        </w:rPr>
        <w:t>The smart contract development focused on creating a secure and efficient transaction process. Key features include:</w:t>
      </w:r>
    </w:p>
    <w:p w14:paraId="689D22A9" w14:textId="77777777" w:rsidR="002A4B22" w:rsidRPr="005B520E" w:rsidRDefault="002A4B22" w:rsidP="002A4B22">
      <w:pPr>
        <w:pStyle w:val="bulletlist"/>
        <w:spacing w:after="0"/>
        <w:rPr>
          <w:lang w:val="en-US"/>
        </w:rPr>
      </w:pPr>
      <w:r w:rsidRPr="73E30A54">
        <w:rPr>
          <w:b/>
          <w:bCs/>
          <w:lang w:val="en-US"/>
        </w:rPr>
        <w:t>Payment Validation</w:t>
      </w:r>
      <w:r w:rsidRPr="73E30A54">
        <w:rPr>
          <w:lang w:val="en-US"/>
        </w:rPr>
        <w:t>: Ensures that transactions have a non-zero value and are not initiated by the store owner.</w:t>
      </w:r>
    </w:p>
    <w:p w14:paraId="6F47A0DB" w14:textId="77777777" w:rsidR="002A4B22" w:rsidRPr="005B520E" w:rsidRDefault="002A4B22" w:rsidP="002A4B22">
      <w:pPr>
        <w:pStyle w:val="bulletlist"/>
        <w:spacing w:after="0"/>
        <w:rPr>
          <w:lang w:val="en-US"/>
        </w:rPr>
      </w:pPr>
      <w:r w:rsidRPr="73E30A54">
        <w:rPr>
          <w:b/>
          <w:bCs/>
          <w:lang w:val="en-US"/>
        </w:rPr>
        <w:t>Fee Calculation</w:t>
      </w:r>
      <w:r w:rsidRPr="73E30A54">
        <w:rPr>
          <w:lang w:val="en-US"/>
        </w:rPr>
        <w:t>: Automatically calculates and deducts a fee from each transaction.</w:t>
      </w:r>
    </w:p>
    <w:p w14:paraId="29F2EE3E" w14:textId="77777777" w:rsidR="002A4B22" w:rsidRPr="005B520E" w:rsidRDefault="002A4B22" w:rsidP="002A4B22">
      <w:pPr>
        <w:pStyle w:val="bulletlist"/>
        <w:spacing w:after="0"/>
        <w:rPr>
          <w:lang w:val="en-US"/>
        </w:rPr>
      </w:pPr>
      <w:r w:rsidRPr="73E30A54">
        <w:rPr>
          <w:b/>
          <w:bCs/>
          <w:lang w:val="en-US"/>
        </w:rPr>
        <w:t>Sales Tracking</w:t>
      </w:r>
      <w:r w:rsidRPr="73E30A54">
        <w:rPr>
          <w:lang w:val="en-US"/>
        </w:rPr>
        <w:t>: Maintains a record of sales for each seller and the overall store.</w:t>
      </w:r>
    </w:p>
    <w:p w14:paraId="1CA37166" w14:textId="09851BF7" w:rsidR="002A4B22" w:rsidRDefault="002A4B22" w:rsidP="00526794">
      <w:pPr>
        <w:pStyle w:val="bulletlist"/>
        <w:spacing w:after="0"/>
        <w:rPr>
          <w:lang w:val="en-US"/>
        </w:rPr>
      </w:pPr>
      <w:r w:rsidRPr="73E30A54">
        <w:rPr>
          <w:b/>
          <w:bCs/>
          <w:lang w:val="en-US"/>
        </w:rPr>
        <w:t>Event Emission</w:t>
      </w:r>
      <w:r w:rsidRPr="73E30A54">
        <w:rPr>
          <w:lang w:val="en-US"/>
        </w:rPr>
        <w:t>: Emits events for sales and withdrawals to facilitate transparency and tracking.</w:t>
      </w:r>
    </w:p>
    <w:p w14:paraId="28307E75" w14:textId="77777777" w:rsidR="006B1B5A" w:rsidRDefault="006B1B5A" w:rsidP="006B1B5A">
      <w:pPr>
        <w:pStyle w:val="Heading2"/>
      </w:pPr>
      <w:r>
        <w:t>Experimental Environment</w:t>
      </w:r>
    </w:p>
    <w:p w14:paraId="6770233F" w14:textId="4254738E" w:rsidR="006B1B5A" w:rsidRDefault="006B1B5A" w:rsidP="006B1B5A">
      <w:pPr>
        <w:pStyle w:val="Paragraph"/>
      </w:pPr>
      <w:r w:rsidRPr="00A05283">
        <w:rPr>
          <w:b/>
          <w:bCs/>
        </w:rPr>
        <w:t>Layer</w:t>
      </w:r>
      <w:r w:rsidRPr="00A05283">
        <w:rPr>
          <w:b/>
          <w:bCs/>
        </w:rPr>
        <w:noBreakHyphen/>
        <w:t>2 Network Selection</w:t>
      </w:r>
      <w:r>
        <w:rPr>
          <w:b/>
          <w:bCs/>
        </w:rPr>
        <w:t xml:space="preserve">: </w:t>
      </w:r>
      <w:r>
        <w:t xml:space="preserve">In this research, three candidate networks are evaluated: Polygon </w:t>
      </w:r>
      <w:proofErr w:type="spellStart"/>
      <w:r>
        <w:t>PoS</w:t>
      </w:r>
      <w:proofErr w:type="spellEnd"/>
      <w:r>
        <w:t xml:space="preserve">, </w:t>
      </w:r>
      <w:proofErr w:type="spellStart"/>
      <w:r>
        <w:t>Arbitrum</w:t>
      </w:r>
      <w:proofErr w:type="spellEnd"/>
      <w:r>
        <w:t xml:space="preserve"> One, and </w:t>
      </w:r>
      <w:proofErr w:type="spellStart"/>
      <w:r>
        <w:t>zkSync</w:t>
      </w:r>
      <w:proofErr w:type="spellEnd"/>
      <w:r>
        <w:t> Era, against five criteria: average fee per 50 kB proof, confirmed TPS on public dashboards, EVM equivalence (tooling), DeFi ecosystem maturity, and fiat on</w:t>
      </w:r>
      <w:r>
        <w:noBreakHyphen/>
        <w:t>ramp availability, as shown in</w:t>
      </w:r>
      <w:r w:rsidRPr="00690126">
        <w:t xml:space="preserve"> </w:t>
      </w:r>
      <w:r w:rsidRPr="00690126">
        <w:fldChar w:fldCharType="begin"/>
      </w:r>
      <w:r w:rsidRPr="00690126">
        <w:instrText xml:space="preserve"> REF _Ref197868385 \h  \* MERGEFORMAT </w:instrText>
      </w:r>
      <w:r w:rsidRPr="00690126">
        <w:fldChar w:fldCharType="separate"/>
      </w:r>
      <w:r w:rsidR="005B631B" w:rsidRPr="005B631B">
        <w:t>TABLE 1</w:t>
      </w:r>
      <w:r w:rsidRPr="00690126">
        <w:fldChar w:fldCharType="end"/>
      </w:r>
      <w:r w:rsidRPr="0020528A">
        <w:t xml:space="preserve">. </w:t>
      </w:r>
      <w:r>
        <w:t xml:space="preserve"> Polygon </w:t>
      </w:r>
      <w:r>
        <w:lastRenderedPageBreak/>
        <w:t xml:space="preserve">achieved the highest composite score, </w:t>
      </w:r>
      <w:r w:rsidRPr="00C12C94">
        <w:rPr>
          <w:rStyle w:val="Strong"/>
          <w:b w:val="0"/>
          <w:bCs w:val="0"/>
        </w:rPr>
        <w:t>justifying its selection</w:t>
      </w:r>
      <w:r>
        <w:t xml:space="preserve"> for all subsequent experiments. Where relevant, we report counter</w:t>
      </w:r>
      <w:r>
        <w:noBreakHyphen/>
        <w:t xml:space="preserve">factual fees on </w:t>
      </w:r>
      <w:proofErr w:type="spellStart"/>
      <w:r>
        <w:t>Arbitrum</w:t>
      </w:r>
      <w:proofErr w:type="spellEnd"/>
      <w:r>
        <w:t xml:space="preserve"> and </w:t>
      </w:r>
      <w:proofErr w:type="spellStart"/>
      <w:r>
        <w:t>zkSync</w:t>
      </w:r>
      <w:proofErr w:type="spellEnd"/>
      <w:r>
        <w:t xml:space="preserve"> to demonstrate </w:t>
      </w:r>
      <w:proofErr w:type="spellStart"/>
      <w:r>
        <w:t>generalisability</w:t>
      </w:r>
      <w:proofErr w:type="spellEnd"/>
      <w:r>
        <w:t>.</w:t>
      </w:r>
    </w:p>
    <w:p w14:paraId="62CE877C" w14:textId="77777777" w:rsidR="006B1B5A" w:rsidRPr="00526794" w:rsidRDefault="006B1B5A" w:rsidP="006B1B5A">
      <w:pPr>
        <w:pStyle w:val="bulletlist"/>
        <w:numPr>
          <w:ilvl w:val="0"/>
          <w:numId w:val="0"/>
        </w:numPr>
        <w:spacing w:after="0"/>
        <w:ind w:left="576"/>
        <w:rPr>
          <w:lang w:val="en-US"/>
        </w:rPr>
      </w:pPr>
    </w:p>
    <w:p w14:paraId="3EADD256" w14:textId="1A13079A" w:rsidR="00606B62" w:rsidRDefault="00606B62" w:rsidP="00606B62">
      <w:pPr>
        <w:pStyle w:val="ListParagraph"/>
        <w:spacing w:before="240" w:after="240"/>
        <w:ind w:left="648"/>
        <w:jc w:val="center"/>
        <w:rPr>
          <w:sz w:val="20"/>
        </w:rPr>
      </w:pPr>
      <w:r>
        <w:rPr>
          <w:noProof/>
          <w:sz w:val="20"/>
        </w:rPr>
        <w:drawing>
          <wp:inline distT="0" distB="0" distL="0" distR="0" wp14:anchorId="7E6E7D20" wp14:editId="1BB70FB6">
            <wp:extent cx="4596950" cy="2887824"/>
            <wp:effectExtent l="0" t="0" r="0" b="8255"/>
            <wp:docPr id="1339119940" name="Picture 2" descr="A diagram of a software flow&#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9119940" name="Picture 2" descr="A diagram of a software flow&#10;&#10;AI-generated content may be incorrect."/>
                    <pic:cNvPicPr/>
                  </pic:nvPicPr>
                  <pic:blipFill rotWithShape="1">
                    <a:blip r:embed="rId11"/>
                    <a:srcRect t="5769"/>
                    <a:stretch/>
                  </pic:blipFill>
                  <pic:spPr bwMode="auto">
                    <a:xfrm>
                      <a:off x="0" y="0"/>
                      <a:ext cx="4719899" cy="2965061"/>
                    </a:xfrm>
                    <a:prstGeom prst="rect">
                      <a:avLst/>
                    </a:prstGeom>
                    <a:ln>
                      <a:noFill/>
                    </a:ln>
                    <a:extLst>
                      <a:ext uri="{53640926-AAD7-44D8-BBD7-CCE9431645EC}">
                        <a14:shadowObscured xmlns:a14="http://schemas.microsoft.com/office/drawing/2010/main"/>
                      </a:ext>
                    </a:extLst>
                  </pic:spPr>
                </pic:pic>
              </a:graphicData>
            </a:graphic>
          </wp:inline>
        </w:drawing>
      </w:r>
    </w:p>
    <w:p w14:paraId="7871BEB3" w14:textId="2B23C747" w:rsidR="00606B62" w:rsidRPr="00B717F6" w:rsidRDefault="002A4B22" w:rsidP="00B717F6">
      <w:pPr>
        <w:pStyle w:val="Caption"/>
        <w:spacing w:after="0"/>
        <w:jc w:val="center"/>
        <w:rPr>
          <w:rFonts w:eastAsia="SimSun"/>
          <w:i w:val="0"/>
          <w:iCs w:val="0"/>
          <w:noProof/>
          <w:color w:val="auto"/>
        </w:rPr>
      </w:pPr>
      <w:bookmarkStart w:id="4" w:name="_Ref197864987"/>
      <w:r w:rsidRPr="00B717F6">
        <w:rPr>
          <w:rFonts w:eastAsia="DengXian"/>
          <w:b/>
          <w:bCs/>
          <w:i w:val="0"/>
          <w:iCs w:val="0"/>
          <w:color w:val="auto"/>
        </w:rPr>
        <w:t xml:space="preserve">FIGURE </w:t>
      </w:r>
      <w:r w:rsidR="00606B62" w:rsidRPr="00B717F6">
        <w:rPr>
          <w:rFonts w:eastAsia="DengXian"/>
          <w:b/>
          <w:bCs/>
          <w:i w:val="0"/>
          <w:iCs w:val="0"/>
          <w:color w:val="auto"/>
        </w:rPr>
        <w:fldChar w:fldCharType="begin"/>
      </w:r>
      <w:r w:rsidR="00606B62" w:rsidRPr="00B717F6">
        <w:rPr>
          <w:rFonts w:eastAsia="DengXian"/>
          <w:b/>
          <w:bCs/>
          <w:i w:val="0"/>
          <w:iCs w:val="0"/>
          <w:color w:val="auto"/>
        </w:rPr>
        <w:instrText xml:space="preserve"> SEQ Figure \* ARABIC </w:instrText>
      </w:r>
      <w:r w:rsidR="00606B62" w:rsidRPr="00B717F6">
        <w:rPr>
          <w:rFonts w:eastAsia="DengXian"/>
          <w:b/>
          <w:bCs/>
          <w:i w:val="0"/>
          <w:iCs w:val="0"/>
          <w:color w:val="auto"/>
        </w:rPr>
        <w:fldChar w:fldCharType="separate"/>
      </w:r>
      <w:r w:rsidR="005B631B">
        <w:rPr>
          <w:rFonts w:eastAsia="DengXian"/>
          <w:b/>
          <w:bCs/>
          <w:i w:val="0"/>
          <w:iCs w:val="0"/>
          <w:noProof/>
          <w:color w:val="auto"/>
        </w:rPr>
        <w:t>2</w:t>
      </w:r>
      <w:r w:rsidR="00606B62" w:rsidRPr="00B717F6">
        <w:rPr>
          <w:rFonts w:eastAsia="DengXian"/>
          <w:b/>
          <w:bCs/>
          <w:i w:val="0"/>
          <w:iCs w:val="0"/>
          <w:color w:val="auto"/>
        </w:rPr>
        <w:fldChar w:fldCharType="end"/>
      </w:r>
      <w:bookmarkEnd w:id="4"/>
      <w:r w:rsidRPr="00B717F6">
        <w:rPr>
          <w:rFonts w:eastAsia="DengXian"/>
          <w:b/>
          <w:bCs/>
          <w:i w:val="0"/>
          <w:iCs w:val="0"/>
          <w:color w:val="auto"/>
        </w:rPr>
        <w:t>.</w:t>
      </w:r>
      <w:r w:rsidRPr="00B717F6">
        <w:rPr>
          <w:rFonts w:eastAsia="SimSun"/>
          <w:i w:val="0"/>
          <w:iCs w:val="0"/>
          <w:noProof/>
          <w:color w:val="auto"/>
        </w:rPr>
        <w:t xml:space="preserve"> </w:t>
      </w:r>
      <w:r w:rsidR="00606B62" w:rsidRPr="00B717F6">
        <w:rPr>
          <w:rFonts w:eastAsia="SimSun"/>
          <w:i w:val="0"/>
          <w:iCs w:val="0"/>
          <w:noProof/>
          <w:color w:val="auto"/>
        </w:rPr>
        <w:t xml:space="preserve">System </w:t>
      </w:r>
      <w:r w:rsidR="006B1B5A">
        <w:rPr>
          <w:rFonts w:eastAsia="SimSun"/>
          <w:i w:val="0"/>
          <w:iCs w:val="0"/>
          <w:noProof/>
          <w:color w:val="auto"/>
        </w:rPr>
        <w:t>a</w:t>
      </w:r>
      <w:r w:rsidR="00606B62" w:rsidRPr="00B717F6">
        <w:rPr>
          <w:rFonts w:eastAsia="SimSun"/>
          <w:i w:val="0"/>
          <w:iCs w:val="0"/>
          <w:noProof/>
          <w:color w:val="auto"/>
        </w:rPr>
        <w:t xml:space="preserve">rchitecture of </w:t>
      </w:r>
      <w:r w:rsidR="006B1B5A">
        <w:rPr>
          <w:rFonts w:eastAsia="SimSun"/>
          <w:i w:val="0"/>
          <w:iCs w:val="0"/>
          <w:noProof/>
          <w:color w:val="auto"/>
        </w:rPr>
        <w:t>e</w:t>
      </w:r>
      <w:r w:rsidR="00606B62" w:rsidRPr="00B717F6">
        <w:rPr>
          <w:rFonts w:eastAsia="SimSun"/>
          <w:i w:val="0"/>
          <w:iCs w:val="0"/>
          <w:noProof/>
          <w:color w:val="auto"/>
        </w:rPr>
        <w:t>cochain</w:t>
      </w:r>
    </w:p>
    <w:p w14:paraId="27FA0C3B" w14:textId="77777777" w:rsidR="00690126" w:rsidRPr="0085282B" w:rsidRDefault="00690126" w:rsidP="00690126">
      <w:pPr>
        <w:pStyle w:val="Paragraph"/>
        <w:ind w:left="644" w:firstLine="0"/>
      </w:pPr>
    </w:p>
    <w:p w14:paraId="1B70B4E4" w14:textId="73963921" w:rsidR="00690126" w:rsidRPr="00690126" w:rsidRDefault="00FF124C" w:rsidP="00B717F6">
      <w:pPr>
        <w:pStyle w:val="Caption"/>
        <w:keepNext/>
        <w:spacing w:after="0"/>
        <w:jc w:val="center"/>
        <w:rPr>
          <w:b/>
          <w:color w:val="auto"/>
        </w:rPr>
      </w:pPr>
      <w:bookmarkStart w:id="5" w:name="_Ref197868385"/>
      <w:r w:rsidRPr="003750D3">
        <w:rPr>
          <w:rFonts w:eastAsiaTheme="minorEastAsia"/>
          <w:b/>
          <w:bCs/>
          <w:i w:val="0"/>
          <w:iCs w:val="0"/>
          <w:color w:val="auto"/>
          <w:lang w:val="en-MY"/>
        </w:rPr>
        <w:t>TABLE</w:t>
      </w:r>
      <w:r w:rsidR="00690126" w:rsidRPr="003750D3">
        <w:rPr>
          <w:rFonts w:eastAsiaTheme="minorEastAsia"/>
          <w:b/>
          <w:bCs/>
          <w:i w:val="0"/>
          <w:iCs w:val="0"/>
          <w:color w:val="auto"/>
          <w:lang w:val="en-MY"/>
        </w:rPr>
        <w:t xml:space="preserve"> </w:t>
      </w:r>
      <w:r w:rsidR="00690126" w:rsidRPr="003750D3">
        <w:rPr>
          <w:rFonts w:eastAsiaTheme="minorEastAsia"/>
          <w:b/>
          <w:bCs/>
          <w:i w:val="0"/>
          <w:iCs w:val="0"/>
          <w:color w:val="auto"/>
          <w:lang w:val="en-MY"/>
        </w:rPr>
        <w:fldChar w:fldCharType="begin"/>
      </w:r>
      <w:r w:rsidR="00690126" w:rsidRPr="003750D3">
        <w:rPr>
          <w:rFonts w:eastAsiaTheme="minorEastAsia"/>
          <w:b/>
          <w:bCs/>
          <w:i w:val="0"/>
          <w:iCs w:val="0"/>
          <w:color w:val="auto"/>
          <w:lang w:val="en-MY"/>
        </w:rPr>
        <w:instrText xml:space="preserve"> SEQ Table \* ARABIC </w:instrText>
      </w:r>
      <w:r w:rsidR="00690126" w:rsidRPr="003750D3">
        <w:rPr>
          <w:rFonts w:eastAsiaTheme="minorEastAsia"/>
          <w:b/>
          <w:bCs/>
          <w:i w:val="0"/>
          <w:iCs w:val="0"/>
          <w:color w:val="auto"/>
          <w:lang w:val="en-MY"/>
        </w:rPr>
        <w:fldChar w:fldCharType="separate"/>
      </w:r>
      <w:r w:rsidR="005B631B">
        <w:rPr>
          <w:rFonts w:eastAsiaTheme="minorEastAsia"/>
          <w:b/>
          <w:bCs/>
          <w:i w:val="0"/>
          <w:iCs w:val="0"/>
          <w:noProof/>
          <w:color w:val="auto"/>
          <w:lang w:val="en-MY"/>
        </w:rPr>
        <w:t>1</w:t>
      </w:r>
      <w:r w:rsidR="00690126" w:rsidRPr="003750D3">
        <w:rPr>
          <w:rFonts w:eastAsiaTheme="minorEastAsia"/>
          <w:b/>
          <w:bCs/>
          <w:i w:val="0"/>
          <w:iCs w:val="0"/>
          <w:color w:val="auto"/>
          <w:lang w:val="en-MY"/>
        </w:rPr>
        <w:fldChar w:fldCharType="end"/>
      </w:r>
      <w:bookmarkEnd w:id="5"/>
      <w:r w:rsidR="00B717F6">
        <w:rPr>
          <w:b/>
          <w:i w:val="0"/>
          <w:iCs w:val="0"/>
          <w:color w:val="auto"/>
        </w:rPr>
        <w:t>.</w:t>
      </w:r>
      <w:r w:rsidR="00690126" w:rsidRPr="00690126">
        <w:rPr>
          <w:b/>
          <w:color w:val="auto"/>
        </w:rPr>
        <w:t xml:space="preserve"> </w:t>
      </w:r>
      <w:r w:rsidR="00690126" w:rsidRPr="003750D3">
        <w:rPr>
          <w:rFonts w:eastAsiaTheme="minorEastAsia"/>
          <w:i w:val="0"/>
          <w:iCs w:val="0"/>
          <w:color w:val="auto"/>
          <w:lang w:val="en-MY"/>
        </w:rPr>
        <w:t>Presents the selection matrix; scores are normalised 1 (low)–5 (high)</w:t>
      </w:r>
    </w:p>
    <w:tbl>
      <w:tblPr>
        <w:tblW w:w="5000" w:type="pct"/>
        <w:jc w:val="center"/>
        <w:tblBorders>
          <w:top w:val="single" w:sz="4" w:space="0" w:color="auto"/>
          <w:bottom w:val="single" w:sz="4" w:space="0" w:color="auto"/>
        </w:tblBorders>
        <w:tblLook w:val="0000" w:firstRow="0" w:lastRow="0" w:firstColumn="0" w:lastColumn="0" w:noHBand="0" w:noVBand="0"/>
      </w:tblPr>
      <w:tblGrid>
        <w:gridCol w:w="2340"/>
        <w:gridCol w:w="2340"/>
        <w:gridCol w:w="2340"/>
        <w:gridCol w:w="2340"/>
      </w:tblGrid>
      <w:tr w:rsidR="009703AF" w:rsidRPr="00075EA6" w14:paraId="299A991C" w14:textId="3FBBC1E1" w:rsidTr="00B717F6">
        <w:trPr>
          <w:cantSplit/>
          <w:trHeight w:val="272"/>
          <w:jc w:val="center"/>
        </w:trPr>
        <w:tc>
          <w:tcPr>
            <w:tcW w:w="1250" w:type="pct"/>
            <w:vAlign w:val="center"/>
          </w:tcPr>
          <w:p w14:paraId="720A387D" w14:textId="2CD09995" w:rsidR="009703AF" w:rsidRPr="00075EA6" w:rsidRDefault="009703AF" w:rsidP="009C62E4">
            <w:pPr>
              <w:jc w:val="center"/>
            </w:pPr>
            <w:r w:rsidRPr="009703AF">
              <w:rPr>
                <w:b/>
                <w:sz w:val="18"/>
                <w:szCs w:val="18"/>
              </w:rPr>
              <w:t>Criterion</w:t>
            </w:r>
          </w:p>
        </w:tc>
        <w:tc>
          <w:tcPr>
            <w:tcW w:w="1250" w:type="pct"/>
            <w:vAlign w:val="center"/>
          </w:tcPr>
          <w:p w14:paraId="0D2612DE" w14:textId="70B76053" w:rsidR="009703AF" w:rsidRPr="00075EA6" w:rsidRDefault="009703AF" w:rsidP="009C62E4">
            <w:pPr>
              <w:jc w:val="center"/>
              <w:rPr>
                <w:b/>
                <w:sz w:val="18"/>
                <w:szCs w:val="18"/>
              </w:rPr>
            </w:pPr>
            <w:r w:rsidRPr="009703AF">
              <w:rPr>
                <w:b/>
                <w:sz w:val="18"/>
                <w:szCs w:val="18"/>
              </w:rPr>
              <w:t xml:space="preserve">Polygon </w:t>
            </w:r>
            <w:proofErr w:type="spellStart"/>
            <w:r w:rsidRPr="009703AF">
              <w:rPr>
                <w:b/>
                <w:sz w:val="18"/>
                <w:szCs w:val="18"/>
              </w:rPr>
              <w:t>PoS</w:t>
            </w:r>
            <w:proofErr w:type="spellEnd"/>
          </w:p>
        </w:tc>
        <w:tc>
          <w:tcPr>
            <w:tcW w:w="1250" w:type="pct"/>
            <w:vAlign w:val="center"/>
          </w:tcPr>
          <w:p w14:paraId="08AE8114" w14:textId="790753D9" w:rsidR="009703AF" w:rsidRPr="00075EA6" w:rsidRDefault="009703AF" w:rsidP="009C62E4">
            <w:pPr>
              <w:jc w:val="center"/>
              <w:rPr>
                <w:b/>
                <w:sz w:val="18"/>
                <w:szCs w:val="18"/>
              </w:rPr>
            </w:pPr>
            <w:proofErr w:type="spellStart"/>
            <w:r w:rsidRPr="009703AF">
              <w:rPr>
                <w:b/>
                <w:sz w:val="18"/>
                <w:szCs w:val="18"/>
              </w:rPr>
              <w:t>Arbitrum</w:t>
            </w:r>
            <w:proofErr w:type="spellEnd"/>
            <w:r w:rsidRPr="009703AF">
              <w:rPr>
                <w:b/>
                <w:sz w:val="18"/>
                <w:szCs w:val="18"/>
              </w:rPr>
              <w:t xml:space="preserve"> One</w:t>
            </w:r>
          </w:p>
        </w:tc>
        <w:tc>
          <w:tcPr>
            <w:tcW w:w="1250" w:type="pct"/>
          </w:tcPr>
          <w:p w14:paraId="2109B480" w14:textId="7A231426" w:rsidR="009703AF" w:rsidRPr="009703AF" w:rsidRDefault="009703AF" w:rsidP="009C62E4">
            <w:pPr>
              <w:jc w:val="center"/>
              <w:rPr>
                <w:b/>
                <w:sz w:val="18"/>
                <w:szCs w:val="18"/>
              </w:rPr>
            </w:pPr>
            <w:proofErr w:type="spellStart"/>
            <w:r w:rsidRPr="009703AF">
              <w:rPr>
                <w:b/>
                <w:sz w:val="18"/>
                <w:szCs w:val="18"/>
              </w:rPr>
              <w:t>zkSync</w:t>
            </w:r>
            <w:proofErr w:type="spellEnd"/>
            <w:r w:rsidRPr="009703AF">
              <w:rPr>
                <w:b/>
                <w:sz w:val="18"/>
                <w:szCs w:val="18"/>
              </w:rPr>
              <w:t> Era</w:t>
            </w:r>
          </w:p>
        </w:tc>
      </w:tr>
      <w:tr w:rsidR="009703AF" w:rsidRPr="005A0E21" w14:paraId="2AA243F1" w14:textId="0C5E4B39" w:rsidTr="00B717F6">
        <w:trPr>
          <w:cantSplit/>
          <w:jc w:val="center"/>
        </w:trPr>
        <w:tc>
          <w:tcPr>
            <w:tcW w:w="1250" w:type="pct"/>
          </w:tcPr>
          <w:p w14:paraId="2AF08D88" w14:textId="04D15637" w:rsidR="009703AF" w:rsidRPr="005A0E21" w:rsidRDefault="009703AF" w:rsidP="009C62E4">
            <w:pPr>
              <w:pStyle w:val="Paragraph"/>
            </w:pPr>
            <w:r w:rsidRPr="009703AF">
              <w:t>Avg. fee (USD)</w:t>
            </w:r>
          </w:p>
        </w:tc>
        <w:tc>
          <w:tcPr>
            <w:tcW w:w="1250" w:type="pct"/>
          </w:tcPr>
          <w:p w14:paraId="69726362" w14:textId="5B5DE9EF" w:rsidR="009703AF" w:rsidRPr="005A0E21" w:rsidRDefault="009703AF" w:rsidP="009C62E4">
            <w:pPr>
              <w:jc w:val="center"/>
              <w:rPr>
                <w:sz w:val="20"/>
              </w:rPr>
            </w:pPr>
            <w:r w:rsidRPr="009703AF">
              <w:rPr>
                <w:sz w:val="20"/>
              </w:rPr>
              <w:t>0.021</w:t>
            </w:r>
          </w:p>
        </w:tc>
        <w:tc>
          <w:tcPr>
            <w:tcW w:w="1250" w:type="pct"/>
          </w:tcPr>
          <w:p w14:paraId="645BA3A8" w14:textId="5A67C652" w:rsidR="009703AF" w:rsidRPr="005A0E21" w:rsidRDefault="009703AF" w:rsidP="009C62E4">
            <w:pPr>
              <w:jc w:val="center"/>
              <w:rPr>
                <w:sz w:val="20"/>
              </w:rPr>
            </w:pPr>
            <w:r w:rsidRPr="009703AF">
              <w:rPr>
                <w:sz w:val="20"/>
              </w:rPr>
              <w:t>0.11</w:t>
            </w:r>
          </w:p>
        </w:tc>
        <w:tc>
          <w:tcPr>
            <w:tcW w:w="1250" w:type="pct"/>
          </w:tcPr>
          <w:p w14:paraId="18789071" w14:textId="32253358" w:rsidR="009703AF" w:rsidRDefault="009703AF" w:rsidP="009C62E4">
            <w:pPr>
              <w:jc w:val="center"/>
              <w:rPr>
                <w:sz w:val="20"/>
              </w:rPr>
            </w:pPr>
            <w:r w:rsidRPr="009703AF">
              <w:rPr>
                <w:sz w:val="20"/>
              </w:rPr>
              <w:t>0.05</w:t>
            </w:r>
          </w:p>
        </w:tc>
      </w:tr>
      <w:tr w:rsidR="009703AF" w:rsidRPr="005A0E21" w14:paraId="61F1AFB8" w14:textId="644A0482" w:rsidTr="00B717F6">
        <w:trPr>
          <w:cantSplit/>
          <w:jc w:val="center"/>
        </w:trPr>
        <w:tc>
          <w:tcPr>
            <w:tcW w:w="1250" w:type="pct"/>
          </w:tcPr>
          <w:p w14:paraId="2E153B36" w14:textId="00F4A736" w:rsidR="009703AF" w:rsidRPr="005A0E21" w:rsidRDefault="009703AF" w:rsidP="009C62E4">
            <w:pPr>
              <w:pStyle w:val="Paragraph"/>
            </w:pPr>
            <w:r w:rsidRPr="009703AF">
              <w:t>Sustained TPS*</w:t>
            </w:r>
          </w:p>
        </w:tc>
        <w:tc>
          <w:tcPr>
            <w:tcW w:w="1250" w:type="pct"/>
          </w:tcPr>
          <w:p w14:paraId="7F8D451B" w14:textId="6E9F640E" w:rsidR="009703AF" w:rsidRPr="005A0E21" w:rsidRDefault="009703AF" w:rsidP="009C62E4">
            <w:pPr>
              <w:jc w:val="center"/>
              <w:rPr>
                <w:sz w:val="20"/>
              </w:rPr>
            </w:pPr>
            <w:r w:rsidRPr="009703AF">
              <w:rPr>
                <w:sz w:val="20"/>
              </w:rPr>
              <w:t>170</w:t>
            </w:r>
          </w:p>
        </w:tc>
        <w:tc>
          <w:tcPr>
            <w:tcW w:w="1250" w:type="pct"/>
          </w:tcPr>
          <w:p w14:paraId="69A10961" w14:textId="64E1225C" w:rsidR="009703AF" w:rsidRPr="005A0E21" w:rsidRDefault="009703AF" w:rsidP="009C62E4">
            <w:pPr>
              <w:jc w:val="center"/>
              <w:rPr>
                <w:sz w:val="20"/>
              </w:rPr>
            </w:pPr>
            <w:r w:rsidRPr="009703AF">
              <w:rPr>
                <w:sz w:val="20"/>
              </w:rPr>
              <w:t>90</w:t>
            </w:r>
          </w:p>
        </w:tc>
        <w:tc>
          <w:tcPr>
            <w:tcW w:w="1250" w:type="pct"/>
          </w:tcPr>
          <w:p w14:paraId="069BD7AE" w14:textId="74BDD93F" w:rsidR="009703AF" w:rsidRDefault="009703AF" w:rsidP="009C62E4">
            <w:pPr>
              <w:jc w:val="center"/>
              <w:rPr>
                <w:sz w:val="20"/>
              </w:rPr>
            </w:pPr>
            <w:r w:rsidRPr="009703AF">
              <w:rPr>
                <w:sz w:val="20"/>
              </w:rPr>
              <w:t>100</w:t>
            </w:r>
          </w:p>
        </w:tc>
      </w:tr>
      <w:tr w:rsidR="009703AF" w:rsidRPr="005A0E21" w14:paraId="61D462A9" w14:textId="23ADE9A2" w:rsidTr="00B717F6">
        <w:trPr>
          <w:cantSplit/>
          <w:trHeight w:val="237"/>
          <w:jc w:val="center"/>
        </w:trPr>
        <w:tc>
          <w:tcPr>
            <w:tcW w:w="1250" w:type="pct"/>
          </w:tcPr>
          <w:p w14:paraId="0FEF0BC0" w14:textId="3320D1D7" w:rsidR="009703AF" w:rsidRPr="005A0E21" w:rsidRDefault="009703AF" w:rsidP="009C62E4">
            <w:pPr>
              <w:pStyle w:val="Paragraph"/>
            </w:pPr>
            <w:r w:rsidRPr="009703AF">
              <w:t>Tooling maturity</w:t>
            </w:r>
          </w:p>
        </w:tc>
        <w:tc>
          <w:tcPr>
            <w:tcW w:w="1250" w:type="pct"/>
          </w:tcPr>
          <w:p w14:paraId="60A2796C" w14:textId="50B15EBC" w:rsidR="009703AF" w:rsidRPr="005A0E21" w:rsidRDefault="009703AF" w:rsidP="009C62E4">
            <w:pPr>
              <w:jc w:val="center"/>
              <w:rPr>
                <w:sz w:val="20"/>
              </w:rPr>
            </w:pPr>
            <w:r w:rsidRPr="009703AF">
              <w:rPr>
                <w:sz w:val="20"/>
              </w:rPr>
              <w:t>5</w:t>
            </w:r>
          </w:p>
        </w:tc>
        <w:tc>
          <w:tcPr>
            <w:tcW w:w="1250" w:type="pct"/>
          </w:tcPr>
          <w:p w14:paraId="541918AC" w14:textId="179D5ECF" w:rsidR="009703AF" w:rsidRPr="005A0E21" w:rsidRDefault="009703AF" w:rsidP="009C62E4">
            <w:pPr>
              <w:jc w:val="center"/>
              <w:rPr>
                <w:sz w:val="20"/>
              </w:rPr>
            </w:pPr>
            <w:r>
              <w:rPr>
                <w:sz w:val="20"/>
              </w:rPr>
              <w:t>4</w:t>
            </w:r>
          </w:p>
        </w:tc>
        <w:tc>
          <w:tcPr>
            <w:tcW w:w="1250" w:type="pct"/>
          </w:tcPr>
          <w:p w14:paraId="61E8A0E6" w14:textId="44B03AAA" w:rsidR="009703AF" w:rsidRDefault="009703AF" w:rsidP="009C62E4">
            <w:pPr>
              <w:jc w:val="center"/>
              <w:rPr>
                <w:sz w:val="20"/>
              </w:rPr>
            </w:pPr>
            <w:r w:rsidRPr="009703AF">
              <w:rPr>
                <w:sz w:val="20"/>
              </w:rPr>
              <w:t>3</w:t>
            </w:r>
          </w:p>
        </w:tc>
      </w:tr>
      <w:tr w:rsidR="009703AF" w:rsidRPr="005A0E21" w14:paraId="40EEB645" w14:textId="77777777" w:rsidTr="00B717F6">
        <w:trPr>
          <w:cantSplit/>
          <w:trHeight w:val="237"/>
          <w:jc w:val="center"/>
        </w:trPr>
        <w:tc>
          <w:tcPr>
            <w:tcW w:w="1250" w:type="pct"/>
          </w:tcPr>
          <w:p w14:paraId="194F0D73" w14:textId="00D35331" w:rsidR="009703AF" w:rsidRPr="009703AF" w:rsidRDefault="009703AF" w:rsidP="009C62E4">
            <w:pPr>
              <w:pStyle w:val="Paragraph"/>
            </w:pPr>
            <w:r w:rsidRPr="009703AF">
              <w:t>Ecosystem TVL†</w:t>
            </w:r>
          </w:p>
        </w:tc>
        <w:tc>
          <w:tcPr>
            <w:tcW w:w="1250" w:type="pct"/>
          </w:tcPr>
          <w:p w14:paraId="08C3C361" w14:textId="462B4263" w:rsidR="009703AF" w:rsidRPr="009703AF" w:rsidRDefault="009703AF" w:rsidP="009C62E4">
            <w:pPr>
              <w:jc w:val="center"/>
              <w:rPr>
                <w:sz w:val="20"/>
              </w:rPr>
            </w:pPr>
            <w:r>
              <w:rPr>
                <w:sz w:val="20"/>
              </w:rPr>
              <w:t>5</w:t>
            </w:r>
          </w:p>
        </w:tc>
        <w:tc>
          <w:tcPr>
            <w:tcW w:w="1250" w:type="pct"/>
          </w:tcPr>
          <w:p w14:paraId="592B2878" w14:textId="7FA0D6CB" w:rsidR="009703AF" w:rsidRDefault="009703AF" w:rsidP="009C62E4">
            <w:pPr>
              <w:jc w:val="center"/>
              <w:rPr>
                <w:sz w:val="20"/>
              </w:rPr>
            </w:pPr>
            <w:r>
              <w:rPr>
                <w:sz w:val="20"/>
              </w:rPr>
              <w:t>4</w:t>
            </w:r>
          </w:p>
        </w:tc>
        <w:tc>
          <w:tcPr>
            <w:tcW w:w="1250" w:type="pct"/>
          </w:tcPr>
          <w:p w14:paraId="67BC6154" w14:textId="265899B7" w:rsidR="009703AF" w:rsidRPr="009703AF" w:rsidRDefault="009703AF" w:rsidP="009C62E4">
            <w:pPr>
              <w:jc w:val="center"/>
              <w:rPr>
                <w:sz w:val="20"/>
              </w:rPr>
            </w:pPr>
            <w:r>
              <w:rPr>
                <w:sz w:val="20"/>
              </w:rPr>
              <w:t>2</w:t>
            </w:r>
          </w:p>
        </w:tc>
      </w:tr>
      <w:tr w:rsidR="009703AF" w:rsidRPr="005A0E21" w14:paraId="61B86A0F" w14:textId="77777777" w:rsidTr="00B717F6">
        <w:trPr>
          <w:cantSplit/>
          <w:trHeight w:val="237"/>
          <w:jc w:val="center"/>
        </w:trPr>
        <w:tc>
          <w:tcPr>
            <w:tcW w:w="1250" w:type="pct"/>
          </w:tcPr>
          <w:p w14:paraId="4C34ECB8" w14:textId="6BB1BBC2" w:rsidR="009703AF" w:rsidRPr="009703AF" w:rsidRDefault="009703AF" w:rsidP="009C62E4">
            <w:pPr>
              <w:pStyle w:val="Paragraph"/>
            </w:pPr>
            <w:r w:rsidRPr="009703AF">
              <w:t>Fiat on‑ramp‡</w:t>
            </w:r>
          </w:p>
        </w:tc>
        <w:tc>
          <w:tcPr>
            <w:tcW w:w="1250" w:type="pct"/>
          </w:tcPr>
          <w:p w14:paraId="256A1AF9" w14:textId="1C7CFAB7" w:rsidR="009703AF" w:rsidRDefault="009703AF" w:rsidP="009C62E4">
            <w:pPr>
              <w:jc w:val="center"/>
              <w:rPr>
                <w:sz w:val="20"/>
              </w:rPr>
            </w:pPr>
            <w:r>
              <w:rPr>
                <w:sz w:val="20"/>
              </w:rPr>
              <w:t>4</w:t>
            </w:r>
          </w:p>
        </w:tc>
        <w:tc>
          <w:tcPr>
            <w:tcW w:w="1250" w:type="pct"/>
          </w:tcPr>
          <w:p w14:paraId="72998AE9" w14:textId="01AAEE10" w:rsidR="009703AF" w:rsidRDefault="009703AF" w:rsidP="009C62E4">
            <w:pPr>
              <w:jc w:val="center"/>
              <w:rPr>
                <w:sz w:val="20"/>
              </w:rPr>
            </w:pPr>
            <w:r>
              <w:rPr>
                <w:sz w:val="20"/>
              </w:rPr>
              <w:t>3</w:t>
            </w:r>
          </w:p>
        </w:tc>
        <w:tc>
          <w:tcPr>
            <w:tcW w:w="1250" w:type="pct"/>
          </w:tcPr>
          <w:p w14:paraId="0772FF4A" w14:textId="157B9C67" w:rsidR="009703AF" w:rsidRDefault="009703AF" w:rsidP="009C62E4">
            <w:pPr>
              <w:jc w:val="center"/>
              <w:rPr>
                <w:sz w:val="20"/>
              </w:rPr>
            </w:pPr>
            <w:r>
              <w:rPr>
                <w:sz w:val="20"/>
              </w:rPr>
              <w:t>2</w:t>
            </w:r>
          </w:p>
        </w:tc>
      </w:tr>
      <w:tr w:rsidR="009703AF" w:rsidRPr="005A0E21" w14:paraId="29426266" w14:textId="77777777" w:rsidTr="00B717F6">
        <w:trPr>
          <w:cantSplit/>
          <w:trHeight w:val="237"/>
          <w:jc w:val="center"/>
        </w:trPr>
        <w:tc>
          <w:tcPr>
            <w:tcW w:w="1250" w:type="pct"/>
          </w:tcPr>
          <w:p w14:paraId="1EB1DF64" w14:textId="2A874B02" w:rsidR="009703AF" w:rsidRPr="009703AF" w:rsidRDefault="009703AF" w:rsidP="009C62E4">
            <w:pPr>
              <w:pStyle w:val="Paragraph"/>
            </w:pPr>
            <w:r w:rsidRPr="009703AF">
              <w:t>Composite score</w:t>
            </w:r>
          </w:p>
        </w:tc>
        <w:tc>
          <w:tcPr>
            <w:tcW w:w="1250" w:type="pct"/>
          </w:tcPr>
          <w:p w14:paraId="28D3C7C9" w14:textId="3A2574A9" w:rsidR="009703AF" w:rsidRDefault="009703AF" w:rsidP="009C62E4">
            <w:pPr>
              <w:jc w:val="center"/>
              <w:rPr>
                <w:sz w:val="20"/>
              </w:rPr>
            </w:pPr>
            <w:r>
              <w:rPr>
                <w:sz w:val="20"/>
              </w:rPr>
              <w:t>4.6</w:t>
            </w:r>
          </w:p>
        </w:tc>
        <w:tc>
          <w:tcPr>
            <w:tcW w:w="1250" w:type="pct"/>
          </w:tcPr>
          <w:p w14:paraId="5FA4364C" w14:textId="752E0F9C" w:rsidR="009703AF" w:rsidRDefault="009703AF" w:rsidP="009C62E4">
            <w:pPr>
              <w:jc w:val="center"/>
              <w:rPr>
                <w:sz w:val="20"/>
              </w:rPr>
            </w:pPr>
            <w:r>
              <w:rPr>
                <w:sz w:val="20"/>
              </w:rPr>
              <w:t>3.5</w:t>
            </w:r>
          </w:p>
        </w:tc>
        <w:tc>
          <w:tcPr>
            <w:tcW w:w="1250" w:type="pct"/>
          </w:tcPr>
          <w:p w14:paraId="39C3D801" w14:textId="025A5F8D" w:rsidR="009703AF" w:rsidRDefault="009703AF" w:rsidP="009C62E4">
            <w:pPr>
              <w:jc w:val="center"/>
              <w:rPr>
                <w:sz w:val="20"/>
              </w:rPr>
            </w:pPr>
            <w:r>
              <w:rPr>
                <w:sz w:val="20"/>
              </w:rPr>
              <w:t>2.8</w:t>
            </w:r>
          </w:p>
        </w:tc>
      </w:tr>
    </w:tbl>
    <w:p w14:paraId="23344A1E" w14:textId="00A5F103" w:rsidR="0020528A" w:rsidRPr="006B1B5A" w:rsidRDefault="000E20EE" w:rsidP="006B1B5A">
      <w:pPr>
        <w:pStyle w:val="Paragraph"/>
        <w:ind w:firstLine="0"/>
        <w:rPr>
          <w:i/>
          <w:iCs/>
        </w:rPr>
      </w:pPr>
      <w:r w:rsidRPr="006B1B5A">
        <w:rPr>
          <w:i/>
          <w:iCs/>
        </w:rPr>
        <w:t xml:space="preserve">*Public </w:t>
      </w:r>
      <w:proofErr w:type="gramStart"/>
      <w:r w:rsidRPr="006B1B5A">
        <w:rPr>
          <w:i/>
          <w:iCs/>
        </w:rPr>
        <w:t>stress‑test</w:t>
      </w:r>
      <w:proofErr w:type="gramEnd"/>
      <w:r w:rsidRPr="006B1B5A">
        <w:rPr>
          <w:i/>
          <w:iCs/>
        </w:rPr>
        <w:t xml:space="preserve"> data, April 2025. †Total value locked from DeFi Llama snapshot 30 Apr 2025. ‡Direct credit‑card/ACH services.</w:t>
      </w:r>
    </w:p>
    <w:p w14:paraId="1DA815DD" w14:textId="77777777" w:rsidR="001F1593" w:rsidRDefault="001F1593" w:rsidP="0020528A">
      <w:pPr>
        <w:pStyle w:val="Paragraph"/>
      </w:pPr>
    </w:p>
    <w:p w14:paraId="317F2113" w14:textId="77777777" w:rsidR="007C07AB" w:rsidRDefault="007C07AB">
      <w:pPr>
        <w:pStyle w:val="ListParagraph"/>
        <w:numPr>
          <w:ilvl w:val="0"/>
          <w:numId w:val="12"/>
        </w:numPr>
        <w:rPr>
          <w:b/>
          <w:bCs/>
          <w:sz w:val="20"/>
        </w:rPr>
      </w:pPr>
      <w:r w:rsidRPr="007C07AB">
        <w:rPr>
          <w:b/>
          <w:bCs/>
          <w:sz w:val="20"/>
        </w:rPr>
        <w:t>Load Generation and Metrics</w:t>
      </w:r>
    </w:p>
    <w:p w14:paraId="631F6860" w14:textId="43C4629F" w:rsidR="005800A7" w:rsidRPr="005800A7" w:rsidRDefault="005800A7">
      <w:pPr>
        <w:pStyle w:val="ListParagraph"/>
        <w:numPr>
          <w:ilvl w:val="0"/>
          <w:numId w:val="13"/>
        </w:numPr>
        <w:rPr>
          <w:sz w:val="20"/>
        </w:rPr>
      </w:pPr>
      <w:r w:rsidRPr="005800A7">
        <w:rPr>
          <w:sz w:val="20"/>
        </w:rPr>
        <w:t>Hardware: AWS t</w:t>
      </w:r>
      <w:proofErr w:type="gramStart"/>
      <w:r w:rsidRPr="005800A7">
        <w:rPr>
          <w:sz w:val="20"/>
        </w:rPr>
        <w:t>3.medium</w:t>
      </w:r>
      <w:proofErr w:type="gramEnd"/>
      <w:r w:rsidRPr="005800A7">
        <w:rPr>
          <w:sz w:val="20"/>
        </w:rPr>
        <w:t xml:space="preserve"> (2 vCPU, 4 GB, USD 34 month⁻¹) hosts the Aggregator; the test client runs on a t</w:t>
      </w:r>
      <w:proofErr w:type="gramStart"/>
      <w:r w:rsidRPr="005800A7">
        <w:rPr>
          <w:sz w:val="20"/>
        </w:rPr>
        <w:t>3.small</w:t>
      </w:r>
      <w:proofErr w:type="gramEnd"/>
      <w:r w:rsidRPr="005800A7">
        <w:rPr>
          <w:sz w:val="20"/>
        </w:rPr>
        <w:t>.</w:t>
      </w:r>
    </w:p>
    <w:p w14:paraId="1E7EE2F3" w14:textId="14CFFD18" w:rsidR="005800A7" w:rsidRPr="005800A7" w:rsidRDefault="005800A7">
      <w:pPr>
        <w:pStyle w:val="ListParagraph"/>
        <w:numPr>
          <w:ilvl w:val="0"/>
          <w:numId w:val="13"/>
        </w:numPr>
        <w:rPr>
          <w:sz w:val="20"/>
        </w:rPr>
      </w:pPr>
      <w:r w:rsidRPr="005800A7">
        <w:rPr>
          <w:sz w:val="20"/>
        </w:rPr>
        <w:t xml:space="preserve">Dataset: 10 000 synthetic checkouts, basket sizes USD 1–100, </w:t>
      </w:r>
      <w:proofErr w:type="gramStart"/>
      <w:r w:rsidRPr="005800A7">
        <w:rPr>
          <w:sz w:val="20"/>
        </w:rPr>
        <w:t>Zipf(</w:t>
      </w:r>
      <w:proofErr w:type="gramEnd"/>
      <w:r w:rsidRPr="005800A7">
        <w:rPr>
          <w:sz w:val="20"/>
        </w:rPr>
        <w:t>α = 1.2) distribution.</w:t>
      </w:r>
    </w:p>
    <w:p w14:paraId="3BF59C13" w14:textId="04D555A7" w:rsidR="005800A7" w:rsidRPr="005800A7" w:rsidRDefault="005800A7">
      <w:pPr>
        <w:pStyle w:val="ListParagraph"/>
        <w:numPr>
          <w:ilvl w:val="0"/>
          <w:numId w:val="13"/>
        </w:numPr>
        <w:rPr>
          <w:sz w:val="20"/>
        </w:rPr>
      </w:pPr>
      <w:r w:rsidRPr="005800A7">
        <w:rPr>
          <w:sz w:val="20"/>
        </w:rPr>
        <w:t>Metrics: settlement fee (USD), confirmation latency (P50/P95), throughput (TPS), CPU/memory footprint, and on‑chain gas usage. Each experiment is repeated five times; results are reported as mean ± SD.</w:t>
      </w:r>
    </w:p>
    <w:p w14:paraId="5D417FBB" w14:textId="77777777" w:rsidR="007C07AB" w:rsidRDefault="007C07AB" w:rsidP="0020528A">
      <w:pPr>
        <w:pStyle w:val="Paragraph"/>
      </w:pPr>
    </w:p>
    <w:p w14:paraId="457E9693" w14:textId="4BA408DD" w:rsidR="000E20EE" w:rsidRDefault="0044170A">
      <w:pPr>
        <w:pStyle w:val="Paragraph"/>
        <w:numPr>
          <w:ilvl w:val="0"/>
          <w:numId w:val="12"/>
        </w:numPr>
        <w:rPr>
          <w:b/>
          <w:bCs/>
        </w:rPr>
      </w:pPr>
      <w:r w:rsidRPr="0044170A">
        <w:rPr>
          <w:b/>
          <w:bCs/>
        </w:rPr>
        <w:t>Security Testing &amp; Audit Plan</w:t>
      </w:r>
    </w:p>
    <w:p w14:paraId="61251DA1" w14:textId="718FBE8D" w:rsidR="0044170A" w:rsidRDefault="0044170A">
      <w:pPr>
        <w:pStyle w:val="Paragraph"/>
        <w:numPr>
          <w:ilvl w:val="0"/>
          <w:numId w:val="14"/>
        </w:numPr>
      </w:pPr>
      <w:r>
        <w:t>To evaluate threats to validity we adopted a three‑stage audit pipeline:</w:t>
      </w:r>
    </w:p>
    <w:p w14:paraId="45BDAD57" w14:textId="3AAF004E" w:rsidR="0044170A" w:rsidRDefault="0044170A">
      <w:pPr>
        <w:pStyle w:val="Paragraph"/>
        <w:numPr>
          <w:ilvl w:val="0"/>
          <w:numId w:val="14"/>
        </w:numPr>
      </w:pPr>
      <w:r>
        <w:t xml:space="preserve">Static Analysis – slither v0.10 detects </w:t>
      </w:r>
      <w:r w:rsidR="00960364">
        <w:t>reentrancy</w:t>
      </w:r>
      <w:r>
        <w:t>, integer overflow/underflow, and incorrect ERC‑20 allowances (0 critical, 3 medium, 2 informational findings).</w:t>
      </w:r>
    </w:p>
    <w:p w14:paraId="29CEA839" w14:textId="6F82598E" w:rsidR="0044170A" w:rsidRDefault="0044170A">
      <w:pPr>
        <w:pStyle w:val="Paragraph"/>
        <w:numPr>
          <w:ilvl w:val="0"/>
          <w:numId w:val="14"/>
        </w:numPr>
      </w:pPr>
      <w:r>
        <w:t>Dynamic Fuzzing – Echidna runs 50</w:t>
      </w:r>
      <w:r w:rsidR="00960364">
        <w:t>,</w:t>
      </w:r>
      <w:r>
        <w:t>000 property‑based tests on the Settlement contract; no invariant violations observed.</w:t>
      </w:r>
    </w:p>
    <w:p w14:paraId="37823B8D" w14:textId="78186B32" w:rsidR="00335920" w:rsidRDefault="0044170A">
      <w:pPr>
        <w:pStyle w:val="Paragraph"/>
        <w:numPr>
          <w:ilvl w:val="0"/>
          <w:numId w:val="14"/>
        </w:numPr>
      </w:pPr>
      <w:r>
        <w:t xml:space="preserve">Coverage &amp; Differential Testing – Hardhat‑coverage reports 92 % branch coverage; </w:t>
      </w:r>
      <w:proofErr w:type="spellStart"/>
      <w:r>
        <w:t>MythX</w:t>
      </w:r>
      <w:proofErr w:type="spellEnd"/>
      <w:r>
        <w:t xml:space="preserve"> cross‑examines deployed byte‑code on Polygon Mumbai and finds no discrepancies.</w:t>
      </w:r>
    </w:p>
    <w:p w14:paraId="00A50236" w14:textId="77777777" w:rsidR="009F4E1A" w:rsidRDefault="009F4E1A" w:rsidP="009F4E1A">
      <w:pPr>
        <w:pStyle w:val="Paragraph"/>
      </w:pPr>
    </w:p>
    <w:p w14:paraId="58478CB8" w14:textId="329643AF" w:rsidR="009F4E1A" w:rsidRDefault="0051536F">
      <w:pPr>
        <w:pStyle w:val="Paragraph"/>
        <w:numPr>
          <w:ilvl w:val="0"/>
          <w:numId w:val="12"/>
        </w:numPr>
        <w:rPr>
          <w:b/>
          <w:bCs/>
        </w:rPr>
      </w:pPr>
      <w:r w:rsidRPr="0051536F">
        <w:rPr>
          <w:b/>
          <w:bCs/>
        </w:rPr>
        <w:t>Threats to Validity</w:t>
      </w:r>
    </w:p>
    <w:p w14:paraId="3DC39E67" w14:textId="131BA0BA" w:rsidR="0051536F" w:rsidRPr="0051536F" w:rsidRDefault="0051536F">
      <w:pPr>
        <w:pStyle w:val="Paragraph"/>
        <w:numPr>
          <w:ilvl w:val="0"/>
          <w:numId w:val="15"/>
        </w:numPr>
      </w:pPr>
      <w:r w:rsidRPr="0051536F">
        <w:lastRenderedPageBreak/>
        <w:t xml:space="preserve">Gas‑price Volatility: Experiments were conducted when </w:t>
      </w:r>
      <w:r w:rsidR="00960364">
        <w:t xml:space="preserve">the </w:t>
      </w:r>
      <w:r w:rsidRPr="0051536F">
        <w:t>base fee ≈ </w:t>
      </w:r>
      <w:r w:rsidR="00960364">
        <w:t xml:space="preserve">was </w:t>
      </w:r>
      <w:r w:rsidRPr="0051536F">
        <w:t>30 </w:t>
      </w:r>
      <w:proofErr w:type="spellStart"/>
      <w:r w:rsidRPr="0051536F">
        <w:t>gwei</w:t>
      </w:r>
      <w:proofErr w:type="spellEnd"/>
      <w:r w:rsidRPr="0051536F">
        <w:t>; extreme congestion could raise costs, though batching reduces sensitivity by ~95 %.</w:t>
      </w:r>
    </w:p>
    <w:p w14:paraId="718A7E80" w14:textId="34070F4B" w:rsidR="0051536F" w:rsidRPr="0051536F" w:rsidRDefault="0051536F">
      <w:pPr>
        <w:pStyle w:val="Paragraph"/>
        <w:numPr>
          <w:ilvl w:val="0"/>
          <w:numId w:val="15"/>
        </w:numPr>
      </w:pPr>
      <w:r w:rsidRPr="0051536F">
        <w:t>Synthetic Workload Bias: While our Zipf distribution mirrors real Shopify data [20], genuine flash</w:t>
      </w:r>
      <w:r w:rsidR="00960364">
        <w:t>-</w:t>
      </w:r>
      <w:r w:rsidRPr="0051536F">
        <w:t>sale spikes (burst &gt;</w:t>
      </w:r>
      <w:r w:rsidR="00960364">
        <w:t xml:space="preserve"> </w:t>
      </w:r>
      <w:r w:rsidRPr="0051536F">
        <w:t>1</w:t>
      </w:r>
      <w:r w:rsidR="00960364">
        <w:t>,</w:t>
      </w:r>
      <w:r w:rsidRPr="0051536F">
        <w:t>000</w:t>
      </w:r>
      <w:r w:rsidR="00960364">
        <w:t xml:space="preserve"> </w:t>
      </w:r>
      <w:r w:rsidRPr="0051536F">
        <w:t>TPS) require horizontal scaling of the Aggregator—future work.</w:t>
      </w:r>
    </w:p>
    <w:p w14:paraId="66FB7115" w14:textId="6923FA2B" w:rsidR="0051536F" w:rsidRDefault="0051536F">
      <w:pPr>
        <w:pStyle w:val="Paragraph"/>
        <w:numPr>
          <w:ilvl w:val="0"/>
          <w:numId w:val="15"/>
        </w:numPr>
      </w:pPr>
      <w:r w:rsidRPr="0051536F">
        <w:t>Test‑net vs Main‑net: Production deployment may encounter higher MEV risk; we plan a guarded launch with circuit breakers and real‑time monitoring.</w:t>
      </w:r>
    </w:p>
    <w:p w14:paraId="25F0AE40" w14:textId="2251DE66" w:rsidR="00BE07E3" w:rsidRDefault="00BE07E3" w:rsidP="00BE07E3">
      <w:pPr>
        <w:pStyle w:val="Heading2"/>
      </w:pPr>
      <w:r>
        <w:t>Implementation Details</w:t>
      </w:r>
    </w:p>
    <w:p w14:paraId="3A5137AC" w14:textId="1BA8F08A" w:rsidR="00706BD9" w:rsidRDefault="00D9563F" w:rsidP="00300F13">
      <w:pPr>
        <w:pStyle w:val="Paragraph"/>
        <w:rPr>
          <w:rFonts w:eastAsia="SimSun"/>
          <w:spacing w:val="-1"/>
          <w:lang w:eastAsia="x-none"/>
        </w:rPr>
      </w:pPr>
      <w:r w:rsidRPr="00D9563F">
        <w:t xml:space="preserve">All source code, </w:t>
      </w:r>
      <w:proofErr w:type="spellStart"/>
      <w:r w:rsidRPr="00D9563F">
        <w:t>Dockerfiles</w:t>
      </w:r>
      <w:proofErr w:type="spellEnd"/>
      <w:r w:rsidRPr="00D9563F">
        <w:t>, and Terraform scripts are bundled in the anonymous supplementary artefact supplied with this submission. The bundle includes a make benchmark target that reproduces every experiment; a permanent DOI will be minted after the review process. Deterministic builds ensure the results can be recreated on any machine that supports Docker 23 or later.</w:t>
      </w:r>
      <w:r w:rsidR="00300F13">
        <w:t xml:space="preserve"> As shown in </w:t>
      </w:r>
      <w:r w:rsidR="002D38E9" w:rsidRPr="002D38E9">
        <w:rPr>
          <w:rFonts w:eastAsia="SimSun"/>
          <w:spacing w:val="-1"/>
          <w:lang w:eastAsia="x-none"/>
        </w:rPr>
        <w:fldChar w:fldCharType="begin"/>
      </w:r>
      <w:r w:rsidR="002D38E9" w:rsidRPr="002D38E9">
        <w:rPr>
          <w:rFonts w:eastAsia="SimSun"/>
          <w:spacing w:val="-1"/>
          <w:lang w:eastAsia="x-none"/>
        </w:rPr>
        <w:instrText xml:space="preserve"> REF _Ref197873311 \h  \* MERGEFORMAT </w:instrText>
      </w:r>
      <w:r w:rsidR="002D38E9" w:rsidRPr="002D38E9">
        <w:rPr>
          <w:rFonts w:eastAsia="SimSun"/>
          <w:spacing w:val="-1"/>
          <w:lang w:eastAsia="x-none"/>
        </w:rPr>
      </w:r>
      <w:r w:rsidR="002D38E9" w:rsidRPr="002D38E9">
        <w:rPr>
          <w:rFonts w:eastAsia="SimSun"/>
          <w:spacing w:val="-1"/>
          <w:lang w:eastAsia="x-none"/>
        </w:rPr>
        <w:fldChar w:fldCharType="separate"/>
      </w:r>
      <w:r w:rsidR="005B631B" w:rsidRPr="005B631B">
        <w:t>TABLE 2</w:t>
      </w:r>
      <w:r w:rsidR="002D38E9" w:rsidRPr="002D38E9">
        <w:rPr>
          <w:rFonts w:eastAsia="SimSun"/>
          <w:spacing w:val="-1"/>
          <w:lang w:eastAsia="x-none"/>
        </w:rPr>
        <w:fldChar w:fldCharType="end"/>
      </w:r>
      <w:r w:rsidR="00300F13">
        <w:rPr>
          <w:rFonts w:eastAsia="SimSun"/>
          <w:spacing w:val="-1"/>
          <w:lang w:eastAsia="x-none"/>
        </w:rPr>
        <w:t>.</w:t>
      </w:r>
    </w:p>
    <w:p w14:paraId="2E3022A6" w14:textId="77777777" w:rsidR="00C85BBF" w:rsidRPr="00300F13" w:rsidRDefault="00C85BBF" w:rsidP="00300F13">
      <w:pPr>
        <w:pStyle w:val="Paragraph"/>
      </w:pPr>
    </w:p>
    <w:p w14:paraId="19EF9ED4" w14:textId="37D01D90" w:rsidR="00706BD9" w:rsidRPr="00A16719" w:rsidRDefault="00706BD9" w:rsidP="00B717F6">
      <w:pPr>
        <w:pStyle w:val="Caption"/>
        <w:keepNext/>
        <w:spacing w:after="0"/>
        <w:jc w:val="center"/>
        <w:rPr>
          <w:b/>
          <w:i w:val="0"/>
          <w:iCs w:val="0"/>
          <w:color w:val="auto"/>
        </w:rPr>
      </w:pPr>
      <w:bookmarkStart w:id="6" w:name="_Ref197873311"/>
      <w:r w:rsidRPr="00A16719">
        <w:rPr>
          <w:b/>
          <w:i w:val="0"/>
          <w:iCs w:val="0"/>
          <w:color w:val="auto"/>
        </w:rPr>
        <w:t xml:space="preserve">TABLE </w:t>
      </w:r>
      <w:r w:rsidRPr="00A16719">
        <w:rPr>
          <w:b/>
          <w:i w:val="0"/>
          <w:iCs w:val="0"/>
          <w:color w:val="auto"/>
        </w:rPr>
        <w:fldChar w:fldCharType="begin"/>
      </w:r>
      <w:r w:rsidRPr="00A16719">
        <w:rPr>
          <w:b/>
          <w:i w:val="0"/>
          <w:iCs w:val="0"/>
          <w:color w:val="auto"/>
        </w:rPr>
        <w:instrText xml:space="preserve"> SEQ Table \* ARABIC </w:instrText>
      </w:r>
      <w:r w:rsidRPr="00A16719">
        <w:rPr>
          <w:b/>
          <w:i w:val="0"/>
          <w:iCs w:val="0"/>
          <w:color w:val="auto"/>
        </w:rPr>
        <w:fldChar w:fldCharType="separate"/>
      </w:r>
      <w:r w:rsidR="005B631B">
        <w:rPr>
          <w:b/>
          <w:i w:val="0"/>
          <w:iCs w:val="0"/>
          <w:noProof/>
          <w:color w:val="auto"/>
        </w:rPr>
        <w:t>2</w:t>
      </w:r>
      <w:r w:rsidRPr="00A16719">
        <w:rPr>
          <w:b/>
          <w:i w:val="0"/>
          <w:iCs w:val="0"/>
          <w:color w:val="auto"/>
        </w:rPr>
        <w:fldChar w:fldCharType="end"/>
      </w:r>
      <w:bookmarkEnd w:id="6"/>
      <w:r w:rsidR="0042433E">
        <w:rPr>
          <w:b/>
          <w:i w:val="0"/>
          <w:iCs w:val="0"/>
          <w:color w:val="auto"/>
        </w:rPr>
        <w:t>.</w:t>
      </w:r>
      <w:r w:rsidRPr="00A16719">
        <w:rPr>
          <w:b/>
          <w:i w:val="0"/>
          <w:iCs w:val="0"/>
          <w:color w:val="auto"/>
        </w:rPr>
        <w:t xml:space="preserve"> </w:t>
      </w:r>
      <w:r w:rsidRPr="00A16719">
        <w:rPr>
          <w:bCs/>
          <w:i w:val="0"/>
          <w:iCs w:val="0"/>
          <w:color w:val="auto"/>
        </w:rPr>
        <w:t xml:space="preserve">Build environment: tool versions and Docker image digests used to reproduce </w:t>
      </w:r>
      <w:proofErr w:type="spellStart"/>
      <w:r w:rsidRPr="00A16719">
        <w:rPr>
          <w:bCs/>
          <w:i w:val="0"/>
          <w:iCs w:val="0"/>
          <w:color w:val="auto"/>
        </w:rPr>
        <w:t>Ecochain’s</w:t>
      </w:r>
      <w:proofErr w:type="spellEnd"/>
      <w:r w:rsidRPr="00A16719">
        <w:rPr>
          <w:bCs/>
          <w:i w:val="0"/>
          <w:iCs w:val="0"/>
          <w:color w:val="auto"/>
        </w:rPr>
        <w:t xml:space="preserve"> results</w:t>
      </w:r>
    </w:p>
    <w:tbl>
      <w:tblPr>
        <w:tblW w:w="5000" w:type="pct"/>
        <w:jc w:val="center"/>
        <w:tblBorders>
          <w:top w:val="single" w:sz="4" w:space="0" w:color="auto"/>
          <w:bottom w:val="single" w:sz="4" w:space="0" w:color="auto"/>
        </w:tblBorders>
        <w:tblLayout w:type="fixed"/>
        <w:tblLook w:val="0000" w:firstRow="0" w:lastRow="0" w:firstColumn="0" w:lastColumn="0" w:noHBand="0" w:noVBand="0"/>
      </w:tblPr>
      <w:tblGrid>
        <w:gridCol w:w="3150"/>
        <w:gridCol w:w="2520"/>
        <w:gridCol w:w="3690"/>
      </w:tblGrid>
      <w:tr w:rsidR="0075309C" w:rsidRPr="00075EA6" w14:paraId="05E382E3" w14:textId="77777777" w:rsidTr="00B717F6">
        <w:trPr>
          <w:cantSplit/>
          <w:trHeight w:val="272"/>
          <w:jc w:val="center"/>
        </w:trPr>
        <w:tc>
          <w:tcPr>
            <w:tcW w:w="1683" w:type="pct"/>
            <w:vAlign w:val="center"/>
          </w:tcPr>
          <w:p w14:paraId="7D9DCEFF" w14:textId="206E8A80" w:rsidR="0075309C" w:rsidRPr="00075EA6" w:rsidRDefault="0075309C" w:rsidP="00187A68">
            <w:r w:rsidRPr="0075309C">
              <w:rPr>
                <w:b/>
                <w:sz w:val="18"/>
                <w:szCs w:val="18"/>
              </w:rPr>
              <w:t>Component</w:t>
            </w:r>
          </w:p>
        </w:tc>
        <w:tc>
          <w:tcPr>
            <w:tcW w:w="1346" w:type="pct"/>
            <w:vAlign w:val="center"/>
          </w:tcPr>
          <w:p w14:paraId="2A1B10F6" w14:textId="77C39EEC" w:rsidR="0075309C" w:rsidRPr="00075EA6" w:rsidRDefault="0075309C" w:rsidP="009C62E4">
            <w:pPr>
              <w:jc w:val="center"/>
              <w:rPr>
                <w:b/>
                <w:sz w:val="18"/>
                <w:szCs w:val="18"/>
              </w:rPr>
            </w:pPr>
            <w:r w:rsidRPr="0075309C">
              <w:rPr>
                <w:b/>
                <w:sz w:val="18"/>
                <w:szCs w:val="18"/>
              </w:rPr>
              <w:t>Version</w:t>
            </w:r>
          </w:p>
        </w:tc>
        <w:tc>
          <w:tcPr>
            <w:tcW w:w="1971" w:type="pct"/>
            <w:vAlign w:val="center"/>
          </w:tcPr>
          <w:p w14:paraId="6B667ED0" w14:textId="07595672" w:rsidR="0075309C" w:rsidRPr="00075EA6" w:rsidRDefault="0075309C" w:rsidP="009C62E4">
            <w:pPr>
              <w:jc w:val="center"/>
              <w:rPr>
                <w:b/>
                <w:sz w:val="18"/>
                <w:szCs w:val="18"/>
              </w:rPr>
            </w:pPr>
            <w:r w:rsidRPr="0075309C">
              <w:rPr>
                <w:b/>
                <w:sz w:val="18"/>
                <w:szCs w:val="18"/>
              </w:rPr>
              <w:t>Docker/</w:t>
            </w:r>
            <w:proofErr w:type="spellStart"/>
            <w:r w:rsidRPr="0075309C">
              <w:rPr>
                <w:b/>
                <w:sz w:val="18"/>
                <w:szCs w:val="18"/>
              </w:rPr>
              <w:t>Img</w:t>
            </w:r>
            <w:proofErr w:type="spellEnd"/>
            <w:r w:rsidRPr="0075309C">
              <w:rPr>
                <w:b/>
                <w:sz w:val="18"/>
                <w:szCs w:val="18"/>
              </w:rPr>
              <w:t xml:space="preserve"> Digest</w:t>
            </w:r>
          </w:p>
        </w:tc>
      </w:tr>
      <w:tr w:rsidR="0075309C" w:rsidRPr="005A0E21" w14:paraId="1E837E2E" w14:textId="77777777" w:rsidTr="00B717F6">
        <w:trPr>
          <w:cantSplit/>
          <w:jc w:val="center"/>
        </w:trPr>
        <w:tc>
          <w:tcPr>
            <w:tcW w:w="1683" w:type="pct"/>
          </w:tcPr>
          <w:p w14:paraId="0420F0AC" w14:textId="782BBFDF" w:rsidR="0075309C" w:rsidRPr="005A0E21" w:rsidRDefault="00844E9A" w:rsidP="00187A68">
            <w:pPr>
              <w:pStyle w:val="Paragraph"/>
              <w:ind w:firstLine="0"/>
              <w:jc w:val="left"/>
            </w:pPr>
            <w:r w:rsidRPr="00844E9A">
              <w:t>Node.js</w:t>
            </w:r>
          </w:p>
        </w:tc>
        <w:tc>
          <w:tcPr>
            <w:tcW w:w="1346" w:type="pct"/>
          </w:tcPr>
          <w:p w14:paraId="7EBD9E6B" w14:textId="6F52EA7F" w:rsidR="0075309C" w:rsidRPr="005A0E21" w:rsidRDefault="00844E9A" w:rsidP="009C62E4">
            <w:pPr>
              <w:jc w:val="center"/>
              <w:rPr>
                <w:sz w:val="20"/>
              </w:rPr>
            </w:pPr>
            <w:r w:rsidRPr="00844E9A">
              <w:rPr>
                <w:sz w:val="20"/>
              </w:rPr>
              <w:t>20.7.0</w:t>
            </w:r>
          </w:p>
        </w:tc>
        <w:tc>
          <w:tcPr>
            <w:tcW w:w="1971" w:type="pct"/>
          </w:tcPr>
          <w:p w14:paraId="4B7367F4" w14:textId="4E3AE285" w:rsidR="0075309C" w:rsidRPr="005A0E21" w:rsidRDefault="00A34379" w:rsidP="009C62E4">
            <w:pPr>
              <w:jc w:val="center"/>
              <w:rPr>
                <w:sz w:val="20"/>
              </w:rPr>
            </w:pPr>
            <w:r w:rsidRPr="00A34379">
              <w:rPr>
                <w:sz w:val="20"/>
              </w:rPr>
              <w:t>sha256:1b4be9b20f2b7d6f7c0</w:t>
            </w:r>
            <w:r w:rsidR="00EF18C4">
              <w:rPr>
                <w:sz w:val="20"/>
              </w:rPr>
              <w:t>……</w:t>
            </w:r>
          </w:p>
        </w:tc>
      </w:tr>
      <w:tr w:rsidR="0075309C" w:rsidRPr="005A0E21" w14:paraId="635DFB6B" w14:textId="77777777" w:rsidTr="00B717F6">
        <w:trPr>
          <w:cantSplit/>
          <w:jc w:val="center"/>
        </w:trPr>
        <w:tc>
          <w:tcPr>
            <w:tcW w:w="1683" w:type="pct"/>
          </w:tcPr>
          <w:p w14:paraId="358C7BB6" w14:textId="13D071A1" w:rsidR="0075309C" w:rsidRPr="005A0E21" w:rsidRDefault="00844E9A" w:rsidP="00187A68">
            <w:pPr>
              <w:pStyle w:val="Paragraph"/>
              <w:ind w:firstLine="0"/>
              <w:jc w:val="left"/>
            </w:pPr>
            <w:r w:rsidRPr="00844E9A">
              <w:t>TypeScri</w:t>
            </w:r>
            <w:r w:rsidR="00187A68">
              <w:t>p</w:t>
            </w:r>
            <w:r w:rsidRPr="00844E9A">
              <w:t>t</w:t>
            </w:r>
          </w:p>
        </w:tc>
        <w:tc>
          <w:tcPr>
            <w:tcW w:w="1346" w:type="pct"/>
          </w:tcPr>
          <w:p w14:paraId="6972B627" w14:textId="41E4F484" w:rsidR="0075309C" w:rsidRPr="005A0E21" w:rsidRDefault="00844E9A" w:rsidP="009C62E4">
            <w:pPr>
              <w:jc w:val="center"/>
              <w:rPr>
                <w:sz w:val="20"/>
              </w:rPr>
            </w:pPr>
            <w:r w:rsidRPr="00844E9A">
              <w:rPr>
                <w:sz w:val="20"/>
              </w:rPr>
              <w:t>5.4.2</w:t>
            </w:r>
          </w:p>
        </w:tc>
        <w:tc>
          <w:tcPr>
            <w:tcW w:w="1971" w:type="pct"/>
          </w:tcPr>
          <w:p w14:paraId="70C2E97B" w14:textId="4E142A36" w:rsidR="0075309C" w:rsidRPr="005A0E21" w:rsidRDefault="00844E9A" w:rsidP="009C62E4">
            <w:pPr>
              <w:jc w:val="center"/>
              <w:rPr>
                <w:sz w:val="20"/>
              </w:rPr>
            </w:pPr>
            <w:r>
              <w:rPr>
                <w:sz w:val="20"/>
              </w:rPr>
              <w:t>n/a</w:t>
            </w:r>
          </w:p>
        </w:tc>
      </w:tr>
      <w:tr w:rsidR="0075309C" w:rsidRPr="005A0E21" w14:paraId="4558DA22" w14:textId="77777777" w:rsidTr="00B717F6">
        <w:trPr>
          <w:cantSplit/>
          <w:trHeight w:val="237"/>
          <w:jc w:val="center"/>
        </w:trPr>
        <w:tc>
          <w:tcPr>
            <w:tcW w:w="1683" w:type="pct"/>
          </w:tcPr>
          <w:p w14:paraId="27832053" w14:textId="1290A740" w:rsidR="0075309C" w:rsidRPr="005A0E21" w:rsidRDefault="00844E9A" w:rsidP="00187A68">
            <w:pPr>
              <w:pStyle w:val="Paragraph"/>
              <w:ind w:firstLine="0"/>
              <w:jc w:val="left"/>
            </w:pPr>
            <w:r w:rsidRPr="00844E9A">
              <w:t>Solidity compiler</w:t>
            </w:r>
          </w:p>
        </w:tc>
        <w:tc>
          <w:tcPr>
            <w:tcW w:w="1346" w:type="pct"/>
          </w:tcPr>
          <w:p w14:paraId="6C7BD708" w14:textId="0B818EA0" w:rsidR="0075309C" w:rsidRPr="005A0E21" w:rsidRDefault="00844E9A" w:rsidP="009C62E4">
            <w:pPr>
              <w:jc w:val="center"/>
              <w:rPr>
                <w:sz w:val="20"/>
              </w:rPr>
            </w:pPr>
            <w:r w:rsidRPr="00844E9A">
              <w:rPr>
                <w:sz w:val="20"/>
              </w:rPr>
              <w:t>0.8.23 (optimizer 20 000)</w:t>
            </w:r>
          </w:p>
        </w:tc>
        <w:tc>
          <w:tcPr>
            <w:tcW w:w="1971" w:type="pct"/>
          </w:tcPr>
          <w:p w14:paraId="65F547AA" w14:textId="5CE374D9" w:rsidR="0075309C" w:rsidRPr="005A0E21" w:rsidRDefault="00844E9A" w:rsidP="009C62E4">
            <w:pPr>
              <w:jc w:val="center"/>
              <w:rPr>
                <w:sz w:val="20"/>
              </w:rPr>
            </w:pPr>
            <w:r>
              <w:rPr>
                <w:sz w:val="20"/>
              </w:rPr>
              <w:t>n/a</w:t>
            </w:r>
          </w:p>
        </w:tc>
      </w:tr>
      <w:tr w:rsidR="0075309C" w:rsidRPr="005A0E21" w14:paraId="1487B641" w14:textId="77777777" w:rsidTr="00B717F6">
        <w:trPr>
          <w:cantSplit/>
          <w:trHeight w:val="237"/>
          <w:jc w:val="center"/>
        </w:trPr>
        <w:tc>
          <w:tcPr>
            <w:tcW w:w="1683" w:type="pct"/>
          </w:tcPr>
          <w:p w14:paraId="7CB51A99" w14:textId="25E65637" w:rsidR="0075309C" w:rsidRPr="009703AF" w:rsidRDefault="00844E9A" w:rsidP="00187A68">
            <w:pPr>
              <w:pStyle w:val="Paragraph"/>
              <w:ind w:firstLine="0"/>
              <w:jc w:val="left"/>
            </w:pPr>
            <w:r w:rsidRPr="00844E9A">
              <w:t>Hardhat</w:t>
            </w:r>
          </w:p>
        </w:tc>
        <w:tc>
          <w:tcPr>
            <w:tcW w:w="1346" w:type="pct"/>
          </w:tcPr>
          <w:p w14:paraId="4ACA4E07" w14:textId="2928CA86" w:rsidR="0075309C" w:rsidRPr="009703AF" w:rsidRDefault="00844E9A" w:rsidP="009C62E4">
            <w:pPr>
              <w:jc w:val="center"/>
              <w:rPr>
                <w:sz w:val="20"/>
              </w:rPr>
            </w:pPr>
            <w:r w:rsidRPr="00844E9A">
              <w:rPr>
                <w:sz w:val="20"/>
              </w:rPr>
              <w:t>2.21.0</w:t>
            </w:r>
          </w:p>
        </w:tc>
        <w:tc>
          <w:tcPr>
            <w:tcW w:w="1971" w:type="pct"/>
          </w:tcPr>
          <w:p w14:paraId="4E20327E" w14:textId="3E7C10AA" w:rsidR="0075309C" w:rsidRDefault="00844E9A" w:rsidP="009C62E4">
            <w:pPr>
              <w:jc w:val="center"/>
              <w:rPr>
                <w:sz w:val="20"/>
              </w:rPr>
            </w:pPr>
            <w:r>
              <w:rPr>
                <w:sz w:val="20"/>
              </w:rPr>
              <w:t>n/a</w:t>
            </w:r>
          </w:p>
        </w:tc>
      </w:tr>
      <w:tr w:rsidR="0075309C" w:rsidRPr="005A0E21" w14:paraId="642235AB" w14:textId="77777777" w:rsidTr="00B717F6">
        <w:trPr>
          <w:cantSplit/>
          <w:trHeight w:val="237"/>
          <w:jc w:val="center"/>
        </w:trPr>
        <w:tc>
          <w:tcPr>
            <w:tcW w:w="1683" w:type="pct"/>
          </w:tcPr>
          <w:p w14:paraId="35679EC0" w14:textId="47482B1A" w:rsidR="0075309C" w:rsidRPr="009703AF" w:rsidRDefault="00844E9A" w:rsidP="00187A68">
            <w:pPr>
              <w:pStyle w:val="Paragraph"/>
              <w:ind w:firstLine="0"/>
              <w:jc w:val="left"/>
            </w:pPr>
            <w:r w:rsidRPr="00844E9A">
              <w:t>Foundry</w:t>
            </w:r>
          </w:p>
        </w:tc>
        <w:tc>
          <w:tcPr>
            <w:tcW w:w="1346" w:type="pct"/>
          </w:tcPr>
          <w:p w14:paraId="6341FBFF" w14:textId="0C593084" w:rsidR="0075309C" w:rsidRDefault="00844E9A" w:rsidP="009C62E4">
            <w:pPr>
              <w:jc w:val="center"/>
              <w:rPr>
                <w:sz w:val="20"/>
              </w:rPr>
            </w:pPr>
            <w:r w:rsidRPr="00844E9A">
              <w:rPr>
                <w:sz w:val="20"/>
              </w:rPr>
              <w:t>0.2.9</w:t>
            </w:r>
          </w:p>
        </w:tc>
        <w:tc>
          <w:tcPr>
            <w:tcW w:w="1971" w:type="pct"/>
          </w:tcPr>
          <w:p w14:paraId="756D5414" w14:textId="542393ED" w:rsidR="0075309C" w:rsidRDefault="00A34379" w:rsidP="009C62E4">
            <w:pPr>
              <w:jc w:val="center"/>
              <w:rPr>
                <w:sz w:val="20"/>
              </w:rPr>
            </w:pPr>
            <w:r w:rsidRPr="00A34379">
              <w:rPr>
                <w:sz w:val="20"/>
              </w:rPr>
              <w:t>sha</w:t>
            </w:r>
            <w:proofErr w:type="gramStart"/>
            <w:r w:rsidRPr="00A34379">
              <w:rPr>
                <w:sz w:val="20"/>
              </w:rPr>
              <w:t>256:afc</w:t>
            </w:r>
            <w:proofErr w:type="gramEnd"/>
            <w:r w:rsidRPr="00A34379">
              <w:rPr>
                <w:sz w:val="20"/>
              </w:rPr>
              <w:t>19dcd7eaa1db6d4b59</w:t>
            </w:r>
            <w:proofErr w:type="gramStart"/>
            <w:r w:rsidR="00EF18C4">
              <w:rPr>
                <w:sz w:val="20"/>
              </w:rPr>
              <w:t>…..</w:t>
            </w:r>
            <w:proofErr w:type="gramEnd"/>
          </w:p>
        </w:tc>
      </w:tr>
      <w:tr w:rsidR="0075309C" w:rsidRPr="005A0E21" w14:paraId="6A5AE48A" w14:textId="77777777" w:rsidTr="00B717F6">
        <w:trPr>
          <w:cantSplit/>
          <w:trHeight w:val="237"/>
          <w:jc w:val="center"/>
        </w:trPr>
        <w:tc>
          <w:tcPr>
            <w:tcW w:w="1683" w:type="pct"/>
          </w:tcPr>
          <w:p w14:paraId="0F71D0B1" w14:textId="7F189F5E" w:rsidR="0075309C" w:rsidRPr="009703AF" w:rsidRDefault="00844E9A" w:rsidP="00187A68">
            <w:pPr>
              <w:pStyle w:val="Paragraph"/>
              <w:ind w:firstLine="0"/>
              <w:jc w:val="left"/>
            </w:pPr>
            <w:r w:rsidRPr="00844E9A">
              <w:t xml:space="preserve">Polygon </w:t>
            </w:r>
            <w:proofErr w:type="spellStart"/>
            <w:r w:rsidRPr="00844E9A">
              <w:t>zkEVM</w:t>
            </w:r>
            <w:proofErr w:type="spellEnd"/>
            <w:r w:rsidRPr="00844E9A">
              <w:t xml:space="preserve"> prover</w:t>
            </w:r>
          </w:p>
        </w:tc>
        <w:tc>
          <w:tcPr>
            <w:tcW w:w="1346" w:type="pct"/>
          </w:tcPr>
          <w:p w14:paraId="1C5FDB89" w14:textId="19E0A321" w:rsidR="0075309C" w:rsidRDefault="00844E9A" w:rsidP="009C62E4">
            <w:pPr>
              <w:jc w:val="center"/>
              <w:rPr>
                <w:sz w:val="20"/>
              </w:rPr>
            </w:pPr>
            <w:r w:rsidRPr="00844E9A">
              <w:rPr>
                <w:sz w:val="20"/>
              </w:rPr>
              <w:t>0.3.2</w:t>
            </w:r>
          </w:p>
        </w:tc>
        <w:tc>
          <w:tcPr>
            <w:tcW w:w="1971" w:type="pct"/>
          </w:tcPr>
          <w:p w14:paraId="2475EA51" w14:textId="62DD0AB5" w:rsidR="0075309C" w:rsidRDefault="00A34379" w:rsidP="009C62E4">
            <w:pPr>
              <w:jc w:val="center"/>
              <w:rPr>
                <w:sz w:val="20"/>
              </w:rPr>
            </w:pPr>
            <w:r w:rsidRPr="00A34379">
              <w:rPr>
                <w:sz w:val="20"/>
              </w:rPr>
              <w:t>sha256:7e12c1a4f9b3d6e2a</w:t>
            </w:r>
            <w:r w:rsidR="00EF18C4">
              <w:rPr>
                <w:sz w:val="20"/>
              </w:rPr>
              <w:t>….…</w:t>
            </w:r>
          </w:p>
        </w:tc>
      </w:tr>
      <w:tr w:rsidR="00844E9A" w:rsidRPr="005A0E21" w14:paraId="39B2ED34" w14:textId="77777777" w:rsidTr="00B717F6">
        <w:trPr>
          <w:cantSplit/>
          <w:trHeight w:val="237"/>
          <w:jc w:val="center"/>
        </w:trPr>
        <w:tc>
          <w:tcPr>
            <w:tcW w:w="1683" w:type="pct"/>
          </w:tcPr>
          <w:p w14:paraId="31E1EA36" w14:textId="717F440E" w:rsidR="00844E9A" w:rsidRPr="00844E9A" w:rsidRDefault="00844E9A" w:rsidP="00187A68">
            <w:pPr>
              <w:pStyle w:val="Paragraph"/>
              <w:ind w:firstLine="0"/>
              <w:jc w:val="left"/>
            </w:pPr>
            <w:r>
              <w:t>Terraform</w:t>
            </w:r>
          </w:p>
        </w:tc>
        <w:tc>
          <w:tcPr>
            <w:tcW w:w="1346" w:type="pct"/>
          </w:tcPr>
          <w:p w14:paraId="42E2EAEA" w14:textId="5CBCAE98" w:rsidR="00844E9A" w:rsidRDefault="00844E9A" w:rsidP="009C62E4">
            <w:pPr>
              <w:jc w:val="center"/>
              <w:rPr>
                <w:sz w:val="20"/>
              </w:rPr>
            </w:pPr>
            <w:r w:rsidRPr="00844E9A">
              <w:rPr>
                <w:sz w:val="20"/>
              </w:rPr>
              <w:t>1.7.5</w:t>
            </w:r>
          </w:p>
        </w:tc>
        <w:tc>
          <w:tcPr>
            <w:tcW w:w="1971" w:type="pct"/>
          </w:tcPr>
          <w:p w14:paraId="165AEFEC" w14:textId="446C415B" w:rsidR="00844E9A" w:rsidRDefault="003E4EA6" w:rsidP="009C62E4">
            <w:pPr>
              <w:jc w:val="center"/>
              <w:rPr>
                <w:sz w:val="20"/>
              </w:rPr>
            </w:pPr>
            <w:r>
              <w:rPr>
                <w:sz w:val="20"/>
              </w:rPr>
              <w:t>n/a</w:t>
            </w:r>
          </w:p>
        </w:tc>
      </w:tr>
    </w:tbl>
    <w:p w14:paraId="3C25EF90" w14:textId="7B78054F" w:rsidR="00226D98" w:rsidRPr="00847B6E" w:rsidRDefault="00226D98" w:rsidP="00847B6E">
      <w:pPr>
        <w:pStyle w:val="Paragraph"/>
        <w:ind w:firstLine="0"/>
        <w:rPr>
          <w:i/>
          <w:iCs/>
        </w:rPr>
      </w:pPr>
      <w:r w:rsidRPr="00847B6E">
        <w:rPr>
          <w:i/>
          <w:iCs/>
        </w:rPr>
        <w:t>*The SHA‑256 digest is a content‑addressable fingerprint that guarantees the image is bit‑for‑bit identical across rebuilds.</w:t>
      </w:r>
      <w:r w:rsidR="00367F67" w:rsidRPr="00847B6E">
        <w:rPr>
          <w:i/>
          <w:iCs/>
        </w:rPr>
        <w:t xml:space="preserve"> </w:t>
      </w:r>
      <w:r w:rsidRPr="00847B6E">
        <w:rPr>
          <w:i/>
          <w:iCs/>
        </w:rPr>
        <w:t>Nightly CI jobs re</w:t>
      </w:r>
      <w:r w:rsidRPr="00847B6E">
        <w:rPr>
          <w:i/>
          <w:iCs/>
        </w:rPr>
        <w:noBreakHyphen/>
        <w:t xml:space="preserve">build every image and compare the resulting digest to the one pinned above; any mismatch triggers an alert, allowing us to detect </w:t>
      </w:r>
      <w:r w:rsidRPr="00847B6E">
        <w:rPr>
          <w:rStyle w:val="Strong"/>
          <w:b w:val="0"/>
          <w:bCs w:val="0"/>
          <w:i/>
          <w:iCs/>
        </w:rPr>
        <w:t>supply</w:t>
      </w:r>
      <w:r w:rsidRPr="00847B6E">
        <w:rPr>
          <w:rStyle w:val="Strong"/>
          <w:b w:val="0"/>
          <w:bCs w:val="0"/>
          <w:i/>
          <w:iCs/>
        </w:rPr>
        <w:noBreakHyphen/>
        <w:t>chain drift</w:t>
      </w:r>
      <w:r w:rsidRPr="00847B6E">
        <w:rPr>
          <w:b/>
          <w:bCs/>
          <w:i/>
          <w:iCs/>
        </w:rPr>
        <w:t xml:space="preserve"> </w:t>
      </w:r>
      <w:r w:rsidRPr="00847B6E">
        <w:rPr>
          <w:i/>
          <w:iCs/>
        </w:rPr>
        <w:t>before it affects reproducibility.</w:t>
      </w:r>
    </w:p>
    <w:p w14:paraId="0E82FD6E" w14:textId="630E7535" w:rsidR="00A95E9D" w:rsidRDefault="00A95E9D" w:rsidP="00A95E9D">
      <w:pPr>
        <w:pStyle w:val="Heading2"/>
      </w:pPr>
      <w:bookmarkStart w:id="7" w:name="_Hlk196499335"/>
      <w:r>
        <w:t>Deployment</w:t>
      </w:r>
    </w:p>
    <w:p w14:paraId="32109650" w14:textId="62B61CB9" w:rsidR="00F66CFE" w:rsidRDefault="00F66CFE" w:rsidP="00061C8A">
      <w:pPr>
        <w:spacing w:before="240" w:after="240"/>
        <w:ind w:firstLine="288"/>
        <w:jc w:val="both"/>
        <w:rPr>
          <w:sz w:val="20"/>
        </w:rPr>
      </w:pPr>
      <w:r w:rsidRPr="00F66CFE">
        <w:rPr>
          <w:sz w:val="20"/>
        </w:rPr>
        <w:t>The smart contracts were first deployed to Layer 2 test‑nets</w:t>
      </w:r>
      <w:r w:rsidR="001A555E">
        <w:rPr>
          <w:sz w:val="20"/>
        </w:rPr>
        <w:t xml:space="preserve">, </w:t>
      </w:r>
      <w:r w:rsidRPr="00F66CFE">
        <w:rPr>
          <w:sz w:val="20"/>
        </w:rPr>
        <w:t xml:space="preserve">specifically Polygon’s Mumbai and </w:t>
      </w:r>
      <w:proofErr w:type="spellStart"/>
      <w:r w:rsidRPr="00F66CFE">
        <w:rPr>
          <w:sz w:val="20"/>
        </w:rPr>
        <w:t>Arbitrum’s</w:t>
      </w:r>
      <w:proofErr w:type="spellEnd"/>
      <w:r w:rsidRPr="00F66CFE">
        <w:rPr>
          <w:sz w:val="20"/>
        </w:rPr>
        <w:t xml:space="preserve"> </w:t>
      </w:r>
      <w:proofErr w:type="spellStart"/>
      <w:r w:rsidRPr="00F66CFE">
        <w:rPr>
          <w:sz w:val="20"/>
        </w:rPr>
        <w:t>Goerli</w:t>
      </w:r>
      <w:proofErr w:type="spellEnd"/>
      <w:r w:rsidR="001A555E">
        <w:rPr>
          <w:sz w:val="20"/>
        </w:rPr>
        <w:t xml:space="preserve">, </w:t>
      </w:r>
      <w:r w:rsidRPr="00F66CFE">
        <w:rPr>
          <w:sz w:val="20"/>
        </w:rPr>
        <w:t xml:space="preserve">to validate functionality and security before any main‑net launch. Deployment used Truffle, whose scripting and network‑management features were configured to target the chosen Layer 2 endpoints; this workflow is summarized in </w:t>
      </w:r>
      <w:r w:rsidR="001A555E">
        <w:rPr>
          <w:sz w:val="20"/>
        </w:rPr>
        <w:fldChar w:fldCharType="begin"/>
      </w:r>
      <w:r w:rsidR="001A555E">
        <w:rPr>
          <w:sz w:val="20"/>
        </w:rPr>
        <w:instrText xml:space="preserve"> REF _Ref197873528 \h </w:instrText>
      </w:r>
      <w:r w:rsidR="00061C8A">
        <w:rPr>
          <w:sz w:val="20"/>
        </w:rPr>
        <w:instrText xml:space="preserve"> \* MERGEFORMAT </w:instrText>
      </w:r>
      <w:r w:rsidR="001A555E">
        <w:rPr>
          <w:sz w:val="20"/>
        </w:rPr>
      </w:r>
      <w:r w:rsidR="001A555E">
        <w:rPr>
          <w:sz w:val="20"/>
        </w:rPr>
        <w:fldChar w:fldCharType="separate"/>
      </w:r>
      <w:r w:rsidR="005B631B" w:rsidRPr="005B631B">
        <w:rPr>
          <w:rFonts w:eastAsia="SimSun"/>
          <w:noProof/>
          <w:sz w:val="20"/>
        </w:rPr>
        <w:t>FIGURE 3</w:t>
      </w:r>
      <w:r w:rsidR="001A555E">
        <w:rPr>
          <w:sz w:val="20"/>
        </w:rPr>
        <w:fldChar w:fldCharType="end"/>
      </w:r>
      <w:r w:rsidRPr="00F66CFE">
        <w:rPr>
          <w:sz w:val="20"/>
        </w:rPr>
        <w:t>. Integration with Layer 2 involved adding the relevant RPC URLs to the Truffle configuration, bridging assets between Layer 1 and Layer 2 when needed, and exploiting the reduced gas fees by batching transactions for off‑chain settlement. Throughout the process, extensive tests and verifications ensured the contracts performed correctly and efficiently in the Layer 2 environment.</w:t>
      </w:r>
    </w:p>
    <w:p w14:paraId="7D65FAD1" w14:textId="4A36C42C" w:rsidR="00A95E9D" w:rsidRPr="00A95E9D" w:rsidRDefault="009D5D76" w:rsidP="00A95E9D">
      <w:pPr>
        <w:spacing w:before="240" w:after="240"/>
        <w:ind w:firstLine="288"/>
        <w:jc w:val="center"/>
        <w:rPr>
          <w:b/>
          <w:bCs/>
          <w:sz w:val="20"/>
        </w:rPr>
      </w:pPr>
      <w:r>
        <w:rPr>
          <w:b/>
          <w:bCs/>
          <w:noProof/>
          <w:sz w:val="20"/>
        </w:rPr>
        <w:drawing>
          <wp:inline distT="0" distB="0" distL="0" distR="0" wp14:anchorId="770176A3" wp14:editId="4D58463F">
            <wp:extent cx="5304454" cy="2395948"/>
            <wp:effectExtent l="0" t="0" r="0" b="4445"/>
            <wp:docPr id="831240713" name="Picture 1" descr="A diagram of a software proces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1240713" name="Picture 1" descr="A diagram of a software process&#10;&#10;AI-generated content may be incorrect."/>
                    <pic:cNvPicPr/>
                  </pic:nvPicPr>
                  <pic:blipFill rotWithShape="1">
                    <a:blip r:embed="rId12"/>
                    <a:srcRect t="16750" b="15498"/>
                    <a:stretch/>
                  </pic:blipFill>
                  <pic:spPr bwMode="auto">
                    <a:xfrm>
                      <a:off x="0" y="0"/>
                      <a:ext cx="5788578" cy="2614620"/>
                    </a:xfrm>
                    <a:prstGeom prst="rect">
                      <a:avLst/>
                    </a:prstGeom>
                    <a:ln>
                      <a:noFill/>
                    </a:ln>
                    <a:extLst>
                      <a:ext uri="{53640926-AAD7-44D8-BBD7-CCE9431645EC}">
                        <a14:shadowObscured xmlns:a14="http://schemas.microsoft.com/office/drawing/2010/main"/>
                      </a:ext>
                    </a:extLst>
                  </pic:spPr>
                </pic:pic>
              </a:graphicData>
            </a:graphic>
          </wp:inline>
        </w:drawing>
      </w:r>
    </w:p>
    <w:p w14:paraId="7E7E6805" w14:textId="632A6C70" w:rsidR="0065406A" w:rsidRPr="00B717F6" w:rsidRDefault="001E7886" w:rsidP="00B717F6">
      <w:pPr>
        <w:pStyle w:val="Caption"/>
        <w:spacing w:after="0"/>
        <w:jc w:val="center"/>
        <w:rPr>
          <w:rFonts w:eastAsia="SimSun"/>
          <w:i w:val="0"/>
          <w:iCs w:val="0"/>
          <w:noProof/>
          <w:color w:val="auto"/>
        </w:rPr>
      </w:pPr>
      <w:bookmarkStart w:id="8" w:name="_Ref197873528"/>
      <w:r w:rsidRPr="00B717F6">
        <w:rPr>
          <w:rFonts w:eastAsia="DengXian"/>
          <w:b/>
          <w:bCs/>
          <w:i w:val="0"/>
          <w:iCs w:val="0"/>
          <w:color w:val="auto"/>
        </w:rPr>
        <w:t xml:space="preserve">FIGURE </w:t>
      </w:r>
      <w:r w:rsidR="0065406A" w:rsidRPr="00B717F6">
        <w:rPr>
          <w:rFonts w:eastAsia="DengXian"/>
          <w:b/>
          <w:bCs/>
          <w:i w:val="0"/>
          <w:iCs w:val="0"/>
          <w:color w:val="auto"/>
        </w:rPr>
        <w:fldChar w:fldCharType="begin"/>
      </w:r>
      <w:r w:rsidR="0065406A" w:rsidRPr="00B717F6">
        <w:rPr>
          <w:rFonts w:eastAsia="DengXian"/>
          <w:b/>
          <w:bCs/>
          <w:i w:val="0"/>
          <w:iCs w:val="0"/>
          <w:color w:val="auto"/>
        </w:rPr>
        <w:instrText xml:space="preserve"> SEQ Figure \* ARABIC </w:instrText>
      </w:r>
      <w:r w:rsidR="0065406A" w:rsidRPr="00B717F6">
        <w:rPr>
          <w:rFonts w:eastAsia="DengXian"/>
          <w:b/>
          <w:bCs/>
          <w:i w:val="0"/>
          <w:iCs w:val="0"/>
          <w:color w:val="auto"/>
        </w:rPr>
        <w:fldChar w:fldCharType="separate"/>
      </w:r>
      <w:r w:rsidR="005B631B">
        <w:rPr>
          <w:rFonts w:eastAsia="DengXian"/>
          <w:b/>
          <w:bCs/>
          <w:i w:val="0"/>
          <w:iCs w:val="0"/>
          <w:noProof/>
          <w:color w:val="auto"/>
        </w:rPr>
        <w:t>3</w:t>
      </w:r>
      <w:r w:rsidR="0065406A" w:rsidRPr="00B717F6">
        <w:rPr>
          <w:rFonts w:eastAsia="DengXian"/>
          <w:b/>
          <w:bCs/>
          <w:i w:val="0"/>
          <w:iCs w:val="0"/>
          <w:color w:val="auto"/>
        </w:rPr>
        <w:fldChar w:fldCharType="end"/>
      </w:r>
      <w:bookmarkEnd w:id="8"/>
      <w:r w:rsidR="0065406A" w:rsidRPr="00B717F6">
        <w:rPr>
          <w:rFonts w:eastAsia="DengXian"/>
          <w:b/>
          <w:bCs/>
          <w:i w:val="0"/>
          <w:iCs w:val="0"/>
          <w:color w:val="auto"/>
        </w:rPr>
        <w:t>.</w:t>
      </w:r>
      <w:r w:rsidR="0065406A" w:rsidRPr="00B717F6">
        <w:rPr>
          <w:rFonts w:eastAsia="SimSun"/>
          <w:i w:val="0"/>
          <w:iCs w:val="0"/>
          <w:noProof/>
          <w:color w:val="auto"/>
        </w:rPr>
        <w:t xml:space="preserve"> Deployment </w:t>
      </w:r>
      <w:r w:rsidR="00847B6E">
        <w:rPr>
          <w:rFonts w:eastAsia="SimSun"/>
          <w:i w:val="0"/>
          <w:iCs w:val="0"/>
          <w:noProof/>
          <w:color w:val="auto"/>
        </w:rPr>
        <w:t>p</w:t>
      </w:r>
      <w:r w:rsidR="0065406A" w:rsidRPr="00B717F6">
        <w:rPr>
          <w:rFonts w:eastAsia="SimSun"/>
          <w:i w:val="0"/>
          <w:iCs w:val="0"/>
          <w:noProof/>
          <w:color w:val="auto"/>
        </w:rPr>
        <w:t xml:space="preserve">rocess </w:t>
      </w:r>
      <w:r w:rsidR="00847B6E">
        <w:rPr>
          <w:rFonts w:eastAsia="SimSun"/>
          <w:i w:val="0"/>
          <w:iCs w:val="0"/>
          <w:noProof/>
          <w:color w:val="auto"/>
        </w:rPr>
        <w:t>f</w:t>
      </w:r>
      <w:r w:rsidR="0065406A" w:rsidRPr="00B717F6">
        <w:rPr>
          <w:rFonts w:eastAsia="SimSun"/>
          <w:i w:val="0"/>
          <w:iCs w:val="0"/>
          <w:noProof/>
          <w:color w:val="auto"/>
        </w:rPr>
        <w:t xml:space="preserve">low </w:t>
      </w:r>
      <w:r w:rsidR="00847B6E">
        <w:rPr>
          <w:rFonts w:eastAsia="SimSun"/>
          <w:i w:val="0"/>
          <w:iCs w:val="0"/>
          <w:noProof/>
          <w:color w:val="auto"/>
        </w:rPr>
        <w:t>d</w:t>
      </w:r>
      <w:r w:rsidR="0065406A" w:rsidRPr="00B717F6">
        <w:rPr>
          <w:rFonts w:eastAsia="SimSun"/>
          <w:i w:val="0"/>
          <w:iCs w:val="0"/>
          <w:noProof/>
          <w:color w:val="auto"/>
        </w:rPr>
        <w:t>iagram</w:t>
      </w:r>
    </w:p>
    <w:p w14:paraId="31C63C5F" w14:textId="024C4004" w:rsidR="00A95E9D" w:rsidRDefault="00A95E9D" w:rsidP="00A95E9D">
      <w:pPr>
        <w:pStyle w:val="Heading1"/>
      </w:pPr>
      <w:r>
        <w:lastRenderedPageBreak/>
        <w:t>RESULTS AND ANALYSIS</w:t>
      </w:r>
    </w:p>
    <w:p w14:paraId="081ED3F6" w14:textId="541BF576" w:rsidR="004D6A88" w:rsidRPr="00037552" w:rsidRDefault="006323DA" w:rsidP="00037552">
      <w:pPr>
        <w:ind w:firstLine="288"/>
        <w:jc w:val="both"/>
        <w:rPr>
          <w:color w:val="000000" w:themeColor="text1"/>
          <w:sz w:val="20"/>
        </w:rPr>
      </w:pPr>
      <w:r w:rsidRPr="006323DA">
        <w:rPr>
          <w:color w:val="000000" w:themeColor="text1"/>
          <w:sz w:val="20"/>
        </w:rPr>
        <w:t>This section answers RQ1 (cost), RQ2 (performance), and RQ3 (security). All benchmarks were run five times on an AWS t</w:t>
      </w:r>
      <w:proofErr w:type="gramStart"/>
      <w:r w:rsidRPr="006323DA">
        <w:rPr>
          <w:color w:val="000000" w:themeColor="text1"/>
          <w:sz w:val="20"/>
        </w:rPr>
        <w:t>3.medium</w:t>
      </w:r>
      <w:proofErr w:type="gramEnd"/>
      <w:r w:rsidRPr="006323DA">
        <w:rPr>
          <w:color w:val="000000" w:themeColor="text1"/>
          <w:sz w:val="20"/>
        </w:rPr>
        <w:t xml:space="preserve"> Aggregator; results are reported as mean ± SD unless indicated otherwise.</w:t>
      </w:r>
      <w:r w:rsidR="00037552">
        <w:rPr>
          <w:color w:val="000000" w:themeColor="text1"/>
          <w:sz w:val="20"/>
        </w:rPr>
        <w:t xml:space="preserve"> For </w:t>
      </w:r>
      <w:r w:rsidR="00037552">
        <w:rPr>
          <w:sz w:val="20"/>
        </w:rPr>
        <w:t>e</w:t>
      </w:r>
      <w:r w:rsidR="007B778F" w:rsidRPr="00037552">
        <w:rPr>
          <w:sz w:val="20"/>
        </w:rPr>
        <w:t>xperimental Setup</w:t>
      </w:r>
      <w:r w:rsidR="00037552">
        <w:rPr>
          <w:color w:val="000000" w:themeColor="text1"/>
          <w:sz w:val="20"/>
        </w:rPr>
        <w:t xml:space="preserve"> </w:t>
      </w:r>
      <w:r w:rsidR="007B778F" w:rsidRPr="00037552">
        <w:rPr>
          <w:sz w:val="20"/>
        </w:rPr>
        <w:t xml:space="preserve">Dataset: 10 000 synthetic checkouts, basket USD 1–100, </w:t>
      </w:r>
      <w:proofErr w:type="gramStart"/>
      <w:r w:rsidR="007B778F" w:rsidRPr="00037552">
        <w:rPr>
          <w:sz w:val="20"/>
        </w:rPr>
        <w:t>Zipf(</w:t>
      </w:r>
      <w:proofErr w:type="gramEnd"/>
      <w:r w:rsidR="007B778F" w:rsidRPr="00037552">
        <w:rPr>
          <w:sz w:val="20"/>
        </w:rPr>
        <w:t>α = 1.2).</w:t>
      </w:r>
      <w:r w:rsidR="00037552">
        <w:rPr>
          <w:color w:val="000000" w:themeColor="text1"/>
          <w:sz w:val="20"/>
        </w:rPr>
        <w:t xml:space="preserve"> </w:t>
      </w:r>
      <w:r w:rsidR="007B778F" w:rsidRPr="00037552">
        <w:rPr>
          <w:sz w:val="20"/>
        </w:rPr>
        <w:t>Hardware: Aggregator on AWS t</w:t>
      </w:r>
      <w:proofErr w:type="gramStart"/>
      <w:r w:rsidR="007B778F" w:rsidRPr="00037552">
        <w:rPr>
          <w:sz w:val="20"/>
        </w:rPr>
        <w:t>3.medium</w:t>
      </w:r>
      <w:proofErr w:type="gramEnd"/>
      <w:r w:rsidR="007B778F" w:rsidRPr="00037552">
        <w:rPr>
          <w:sz w:val="20"/>
        </w:rPr>
        <w:t xml:space="preserve"> (2 vCPU, 4 GB, USD 34 mo⁻¹).</w:t>
      </w:r>
      <w:r w:rsidR="00037552">
        <w:rPr>
          <w:color w:val="000000" w:themeColor="text1"/>
          <w:sz w:val="20"/>
        </w:rPr>
        <w:t xml:space="preserve"> </w:t>
      </w:r>
      <w:r w:rsidR="007B778F" w:rsidRPr="00037552">
        <w:rPr>
          <w:sz w:val="20"/>
        </w:rPr>
        <w:t>Metrics: settlement cost (USD), TPS, confirmation latency, CPU/mem, gas.</w:t>
      </w:r>
      <w:r w:rsidR="00037552">
        <w:rPr>
          <w:color w:val="000000" w:themeColor="text1"/>
          <w:sz w:val="20"/>
        </w:rPr>
        <w:t xml:space="preserve"> </w:t>
      </w:r>
      <w:r w:rsidR="007B778F" w:rsidRPr="00037552">
        <w:rPr>
          <w:sz w:val="20"/>
        </w:rPr>
        <w:t>Five independent runs; results reported mean ± SD.</w:t>
      </w:r>
      <w:r w:rsidR="00037552">
        <w:rPr>
          <w:color w:val="000000" w:themeColor="text1"/>
          <w:sz w:val="20"/>
        </w:rPr>
        <w:t xml:space="preserve"> For </w:t>
      </w:r>
      <w:r w:rsidR="00037552" w:rsidRPr="00037552">
        <w:rPr>
          <w:sz w:val="20"/>
        </w:rPr>
        <w:t>c</w:t>
      </w:r>
      <w:r w:rsidR="00876683" w:rsidRPr="00037552">
        <w:rPr>
          <w:sz w:val="20"/>
        </w:rPr>
        <w:t>ost</w:t>
      </w:r>
      <w:r w:rsidR="002D3032" w:rsidRPr="00037552">
        <w:rPr>
          <w:sz w:val="20"/>
        </w:rPr>
        <w:t xml:space="preserve"> </w:t>
      </w:r>
      <w:r w:rsidR="00037552" w:rsidRPr="00037552">
        <w:rPr>
          <w:sz w:val="20"/>
        </w:rPr>
        <w:t>r</w:t>
      </w:r>
      <w:r w:rsidR="002D3032" w:rsidRPr="00037552">
        <w:rPr>
          <w:sz w:val="20"/>
        </w:rPr>
        <w:t>eduction</w:t>
      </w:r>
      <w:r w:rsidR="00037552">
        <w:rPr>
          <w:sz w:val="20"/>
        </w:rPr>
        <w:t>,</w:t>
      </w:r>
      <w:r w:rsidR="00037552">
        <w:rPr>
          <w:color w:val="000000" w:themeColor="text1"/>
          <w:sz w:val="20"/>
        </w:rPr>
        <w:t xml:space="preserve"> </w:t>
      </w:r>
      <w:r w:rsidR="00403819" w:rsidRPr="00037552">
        <w:rPr>
          <w:sz w:val="20"/>
        </w:rPr>
        <w:fldChar w:fldCharType="begin"/>
      </w:r>
      <w:r w:rsidR="00403819" w:rsidRPr="00037552">
        <w:rPr>
          <w:sz w:val="20"/>
        </w:rPr>
        <w:instrText xml:space="preserve"> REF _Ref197866853 \h  \* MERGEFORMAT </w:instrText>
      </w:r>
      <w:r w:rsidR="00403819" w:rsidRPr="00037552">
        <w:rPr>
          <w:sz w:val="20"/>
        </w:rPr>
      </w:r>
      <w:r w:rsidR="00403819" w:rsidRPr="00037552">
        <w:rPr>
          <w:sz w:val="20"/>
        </w:rPr>
        <w:fldChar w:fldCharType="separate"/>
      </w:r>
      <w:r w:rsidR="005B631B" w:rsidRPr="005B631B">
        <w:rPr>
          <w:sz w:val="20"/>
        </w:rPr>
        <w:t>FIGURE 4</w:t>
      </w:r>
      <w:r w:rsidR="00403819" w:rsidRPr="00037552">
        <w:rPr>
          <w:sz w:val="20"/>
        </w:rPr>
        <w:fldChar w:fldCharType="end"/>
      </w:r>
      <w:r w:rsidR="00403819" w:rsidRPr="00037552">
        <w:rPr>
          <w:sz w:val="20"/>
        </w:rPr>
        <w:t xml:space="preserve"> </w:t>
      </w:r>
      <w:r w:rsidR="004D6A88" w:rsidRPr="00037552">
        <w:rPr>
          <w:sz w:val="20"/>
        </w:rPr>
        <w:t xml:space="preserve">compares the mean settlement fee across networks for basket sizes USD 1–100. </w:t>
      </w:r>
      <w:proofErr w:type="spellStart"/>
      <w:r w:rsidR="004D6A88" w:rsidRPr="00037552">
        <w:rPr>
          <w:sz w:val="20"/>
        </w:rPr>
        <w:t>Ecochain</w:t>
      </w:r>
      <w:proofErr w:type="spellEnd"/>
      <w:r w:rsidR="004D6A88" w:rsidRPr="00037552">
        <w:rPr>
          <w:sz w:val="20"/>
        </w:rPr>
        <w:t xml:space="preserve"> on Polygon reduces the cost from USD 2.87 ± 0.14 (Ethereum main‑net) to USD 0.021 ± 0.003 a 99.3 % saving. The break‑even basket versus Stripe (2.9 % + USD 0.30) occurs at USD 1.00, meeting the &lt; 0.5 % micro-transaction target.</w:t>
      </w:r>
    </w:p>
    <w:p w14:paraId="05F25274" w14:textId="77777777" w:rsidR="004D6A88" w:rsidRPr="004D6A88" w:rsidRDefault="004D6A88" w:rsidP="004D6A88">
      <w:pPr>
        <w:pStyle w:val="ListParagraph"/>
        <w:ind w:left="1008"/>
        <w:rPr>
          <w:sz w:val="20"/>
        </w:rPr>
      </w:pPr>
    </w:p>
    <w:p w14:paraId="1E575560" w14:textId="774DB4B5" w:rsidR="00A37056" w:rsidRPr="00A37056" w:rsidRDefault="00A37056" w:rsidP="00B717F6">
      <w:pPr>
        <w:pStyle w:val="Caption"/>
        <w:keepNext/>
        <w:spacing w:after="0"/>
        <w:jc w:val="center"/>
        <w:rPr>
          <w:b/>
          <w:color w:val="auto"/>
        </w:rPr>
      </w:pPr>
      <w:r w:rsidRPr="00246284">
        <w:rPr>
          <w:b/>
          <w:i w:val="0"/>
          <w:iCs w:val="0"/>
          <w:color w:val="auto"/>
        </w:rPr>
        <w:t xml:space="preserve">TABLE </w:t>
      </w:r>
      <w:r w:rsidRPr="00246284">
        <w:rPr>
          <w:b/>
          <w:i w:val="0"/>
          <w:iCs w:val="0"/>
          <w:color w:val="auto"/>
        </w:rPr>
        <w:fldChar w:fldCharType="begin"/>
      </w:r>
      <w:r w:rsidRPr="00246284">
        <w:rPr>
          <w:b/>
          <w:i w:val="0"/>
          <w:iCs w:val="0"/>
          <w:color w:val="auto"/>
        </w:rPr>
        <w:instrText xml:space="preserve"> SEQ Table \* ARABIC </w:instrText>
      </w:r>
      <w:r w:rsidRPr="00246284">
        <w:rPr>
          <w:b/>
          <w:i w:val="0"/>
          <w:iCs w:val="0"/>
          <w:color w:val="auto"/>
        </w:rPr>
        <w:fldChar w:fldCharType="separate"/>
      </w:r>
      <w:r w:rsidR="005B631B">
        <w:rPr>
          <w:b/>
          <w:i w:val="0"/>
          <w:iCs w:val="0"/>
          <w:noProof/>
          <w:color w:val="auto"/>
        </w:rPr>
        <w:t>3</w:t>
      </w:r>
      <w:r w:rsidRPr="00246284">
        <w:rPr>
          <w:b/>
          <w:i w:val="0"/>
          <w:iCs w:val="0"/>
          <w:color w:val="auto"/>
        </w:rPr>
        <w:fldChar w:fldCharType="end"/>
      </w:r>
      <w:r w:rsidR="00B717F6">
        <w:rPr>
          <w:b/>
          <w:i w:val="0"/>
          <w:iCs w:val="0"/>
          <w:color w:val="auto"/>
        </w:rPr>
        <w:t>.</w:t>
      </w:r>
      <w:r w:rsidRPr="00246284">
        <w:rPr>
          <w:b/>
          <w:i w:val="0"/>
          <w:iCs w:val="0"/>
          <w:color w:val="auto"/>
        </w:rPr>
        <w:t xml:space="preserve"> </w:t>
      </w:r>
      <w:r w:rsidRPr="00246284">
        <w:rPr>
          <w:bCs/>
          <w:i w:val="0"/>
          <w:iCs w:val="0"/>
          <w:color w:val="auto"/>
        </w:rPr>
        <w:t>Average settlement fee per checkout on each network and percentage reduction relative to Ethereum main</w:t>
      </w:r>
      <w:r w:rsidRPr="00246284">
        <w:rPr>
          <w:bCs/>
          <w:i w:val="0"/>
          <w:iCs w:val="0"/>
          <w:color w:val="auto"/>
        </w:rPr>
        <w:noBreakHyphen/>
        <w:t xml:space="preserve">net </w:t>
      </w:r>
      <w:r w:rsidRPr="00246284">
        <w:rPr>
          <w:bCs/>
          <w:color w:val="auto"/>
        </w:rPr>
        <w:t>(USD)</w:t>
      </w:r>
    </w:p>
    <w:tbl>
      <w:tblPr>
        <w:tblW w:w="5000" w:type="pct"/>
        <w:jc w:val="center"/>
        <w:tblBorders>
          <w:top w:val="single" w:sz="4" w:space="0" w:color="auto"/>
          <w:bottom w:val="single" w:sz="4" w:space="0" w:color="auto"/>
        </w:tblBorders>
        <w:tblLook w:val="0000" w:firstRow="0" w:lastRow="0" w:firstColumn="0" w:lastColumn="0" w:noHBand="0" w:noVBand="0"/>
      </w:tblPr>
      <w:tblGrid>
        <w:gridCol w:w="2340"/>
        <w:gridCol w:w="2342"/>
        <w:gridCol w:w="2340"/>
        <w:gridCol w:w="2338"/>
      </w:tblGrid>
      <w:tr w:rsidR="00CD795F" w:rsidRPr="00075EA6" w14:paraId="231881E2" w14:textId="7CE63FE5" w:rsidTr="00B717F6">
        <w:trPr>
          <w:cantSplit/>
          <w:trHeight w:val="272"/>
          <w:jc w:val="center"/>
        </w:trPr>
        <w:tc>
          <w:tcPr>
            <w:tcW w:w="1250" w:type="pct"/>
            <w:vAlign w:val="center"/>
          </w:tcPr>
          <w:p w14:paraId="236997FE" w14:textId="51441F32" w:rsidR="00CD795F" w:rsidRPr="00075EA6" w:rsidRDefault="00CD795F" w:rsidP="009C62E4">
            <w:pPr>
              <w:jc w:val="center"/>
            </w:pPr>
            <w:r w:rsidRPr="00CD795F">
              <w:rPr>
                <w:b/>
                <w:sz w:val="18"/>
                <w:szCs w:val="18"/>
              </w:rPr>
              <w:t>Network</w:t>
            </w:r>
          </w:p>
        </w:tc>
        <w:tc>
          <w:tcPr>
            <w:tcW w:w="1251" w:type="pct"/>
            <w:vAlign w:val="center"/>
          </w:tcPr>
          <w:p w14:paraId="24F8A98A" w14:textId="1F3F24CD" w:rsidR="00CD795F" w:rsidRPr="00075EA6" w:rsidRDefault="00CD795F" w:rsidP="009C62E4">
            <w:pPr>
              <w:jc w:val="center"/>
              <w:rPr>
                <w:b/>
                <w:sz w:val="18"/>
                <w:szCs w:val="18"/>
              </w:rPr>
            </w:pPr>
            <w:r w:rsidRPr="00CD795F">
              <w:rPr>
                <w:b/>
                <w:sz w:val="18"/>
                <w:szCs w:val="18"/>
              </w:rPr>
              <w:t>Mean Fee (USD)</w:t>
            </w:r>
          </w:p>
        </w:tc>
        <w:tc>
          <w:tcPr>
            <w:tcW w:w="1250" w:type="pct"/>
            <w:vAlign w:val="center"/>
          </w:tcPr>
          <w:p w14:paraId="728CEACC" w14:textId="434F39A0" w:rsidR="00CD795F" w:rsidRPr="00075EA6" w:rsidRDefault="00CD795F" w:rsidP="009C62E4">
            <w:pPr>
              <w:jc w:val="center"/>
              <w:rPr>
                <w:b/>
                <w:sz w:val="18"/>
                <w:szCs w:val="18"/>
              </w:rPr>
            </w:pPr>
            <w:r>
              <w:rPr>
                <w:b/>
                <w:sz w:val="18"/>
                <w:szCs w:val="18"/>
              </w:rPr>
              <w:t>SD</w:t>
            </w:r>
          </w:p>
        </w:tc>
        <w:tc>
          <w:tcPr>
            <w:tcW w:w="1249" w:type="pct"/>
          </w:tcPr>
          <w:p w14:paraId="282E3106" w14:textId="2048520A" w:rsidR="00CD795F" w:rsidRPr="0075309C" w:rsidRDefault="00CD795F" w:rsidP="009C62E4">
            <w:pPr>
              <w:jc w:val="center"/>
              <w:rPr>
                <w:b/>
                <w:sz w:val="18"/>
                <w:szCs w:val="18"/>
              </w:rPr>
            </w:pPr>
            <w:r w:rsidRPr="00CD795F">
              <w:rPr>
                <w:b/>
                <w:sz w:val="18"/>
                <w:szCs w:val="18"/>
              </w:rPr>
              <w:t>Reduction vs Main‑net</w:t>
            </w:r>
          </w:p>
        </w:tc>
      </w:tr>
      <w:tr w:rsidR="00CD795F" w:rsidRPr="005A0E21" w14:paraId="01CEEF72" w14:textId="0F1B7E56" w:rsidTr="00B717F6">
        <w:trPr>
          <w:cantSplit/>
          <w:jc w:val="center"/>
        </w:trPr>
        <w:tc>
          <w:tcPr>
            <w:tcW w:w="1250" w:type="pct"/>
          </w:tcPr>
          <w:p w14:paraId="7E3B729F" w14:textId="17D7E7C5" w:rsidR="00CD795F" w:rsidRPr="005A0E21" w:rsidRDefault="00CD795F" w:rsidP="009C62E4">
            <w:pPr>
              <w:pStyle w:val="Paragraph"/>
            </w:pPr>
            <w:r w:rsidRPr="00CD795F">
              <w:t>Ethereum main‑net</w:t>
            </w:r>
          </w:p>
        </w:tc>
        <w:tc>
          <w:tcPr>
            <w:tcW w:w="1251" w:type="pct"/>
          </w:tcPr>
          <w:p w14:paraId="49A92E74" w14:textId="615D2FCD" w:rsidR="00CD795F" w:rsidRPr="005A0E21" w:rsidRDefault="00CD795F" w:rsidP="009C62E4">
            <w:pPr>
              <w:jc w:val="center"/>
              <w:rPr>
                <w:sz w:val="20"/>
              </w:rPr>
            </w:pPr>
            <w:r w:rsidRPr="00844E9A">
              <w:rPr>
                <w:sz w:val="20"/>
              </w:rPr>
              <w:t>2.</w:t>
            </w:r>
            <w:r>
              <w:rPr>
                <w:sz w:val="20"/>
              </w:rPr>
              <w:t>87</w:t>
            </w:r>
          </w:p>
        </w:tc>
        <w:tc>
          <w:tcPr>
            <w:tcW w:w="1250" w:type="pct"/>
          </w:tcPr>
          <w:p w14:paraId="7A67F92B" w14:textId="64EE2FD7" w:rsidR="00CD795F" w:rsidRPr="005A0E21" w:rsidRDefault="00CD795F" w:rsidP="009C62E4">
            <w:pPr>
              <w:jc w:val="center"/>
              <w:rPr>
                <w:sz w:val="20"/>
              </w:rPr>
            </w:pPr>
            <w:r>
              <w:rPr>
                <w:sz w:val="20"/>
              </w:rPr>
              <w:t>0.14</w:t>
            </w:r>
          </w:p>
        </w:tc>
        <w:tc>
          <w:tcPr>
            <w:tcW w:w="1249" w:type="pct"/>
          </w:tcPr>
          <w:p w14:paraId="2CCA63D6" w14:textId="1180049B" w:rsidR="00CD795F" w:rsidRPr="003E4EA6" w:rsidRDefault="00CD795F" w:rsidP="009C62E4">
            <w:pPr>
              <w:jc w:val="center"/>
              <w:rPr>
                <w:sz w:val="20"/>
              </w:rPr>
            </w:pPr>
            <w:r>
              <w:rPr>
                <w:sz w:val="20"/>
              </w:rPr>
              <w:t>-</w:t>
            </w:r>
          </w:p>
        </w:tc>
      </w:tr>
      <w:tr w:rsidR="00CD795F" w:rsidRPr="005A0E21" w14:paraId="694C5DF7" w14:textId="6B64E43A" w:rsidTr="00B717F6">
        <w:trPr>
          <w:cantSplit/>
          <w:jc w:val="center"/>
        </w:trPr>
        <w:tc>
          <w:tcPr>
            <w:tcW w:w="1250" w:type="pct"/>
          </w:tcPr>
          <w:p w14:paraId="7AC48F99" w14:textId="70FB461A" w:rsidR="00CD795F" w:rsidRPr="005A0E21" w:rsidRDefault="00CD795F" w:rsidP="009C62E4">
            <w:pPr>
              <w:pStyle w:val="Paragraph"/>
            </w:pPr>
            <w:r w:rsidRPr="00CD795F">
              <w:t xml:space="preserve">Polygon </w:t>
            </w:r>
            <w:proofErr w:type="spellStart"/>
            <w:r w:rsidRPr="00CD795F">
              <w:t>PoS</w:t>
            </w:r>
            <w:proofErr w:type="spellEnd"/>
          </w:p>
        </w:tc>
        <w:tc>
          <w:tcPr>
            <w:tcW w:w="1251" w:type="pct"/>
          </w:tcPr>
          <w:p w14:paraId="61C5E0B6" w14:textId="5F180FC5" w:rsidR="00CD795F" w:rsidRPr="005A0E21" w:rsidRDefault="00CD795F" w:rsidP="009C62E4">
            <w:pPr>
              <w:jc w:val="center"/>
              <w:rPr>
                <w:sz w:val="20"/>
              </w:rPr>
            </w:pPr>
            <w:r>
              <w:rPr>
                <w:sz w:val="20"/>
              </w:rPr>
              <w:t>0.021</w:t>
            </w:r>
          </w:p>
        </w:tc>
        <w:tc>
          <w:tcPr>
            <w:tcW w:w="1250" w:type="pct"/>
          </w:tcPr>
          <w:p w14:paraId="7F4A87E5" w14:textId="5586532D" w:rsidR="00CD795F" w:rsidRPr="005A0E21" w:rsidRDefault="00CD795F" w:rsidP="009C62E4">
            <w:pPr>
              <w:jc w:val="center"/>
              <w:rPr>
                <w:sz w:val="20"/>
              </w:rPr>
            </w:pPr>
            <w:r>
              <w:rPr>
                <w:sz w:val="20"/>
              </w:rPr>
              <w:t>0.003</w:t>
            </w:r>
          </w:p>
        </w:tc>
        <w:tc>
          <w:tcPr>
            <w:tcW w:w="1249" w:type="pct"/>
          </w:tcPr>
          <w:p w14:paraId="18947CF5" w14:textId="69FA6476" w:rsidR="00CD795F" w:rsidRDefault="00CD795F" w:rsidP="009C62E4">
            <w:pPr>
              <w:jc w:val="center"/>
              <w:rPr>
                <w:sz w:val="20"/>
              </w:rPr>
            </w:pPr>
            <w:r>
              <w:rPr>
                <w:sz w:val="20"/>
              </w:rPr>
              <w:t>99.3%</w:t>
            </w:r>
          </w:p>
        </w:tc>
      </w:tr>
      <w:tr w:rsidR="00CD795F" w:rsidRPr="005A0E21" w14:paraId="132A0AE8" w14:textId="138A8E76" w:rsidTr="00B717F6">
        <w:trPr>
          <w:cantSplit/>
          <w:trHeight w:val="237"/>
          <w:jc w:val="center"/>
        </w:trPr>
        <w:tc>
          <w:tcPr>
            <w:tcW w:w="1250" w:type="pct"/>
          </w:tcPr>
          <w:p w14:paraId="31BDBDA6" w14:textId="63D77328" w:rsidR="00CD795F" w:rsidRPr="005A0E21" w:rsidRDefault="00CD795F" w:rsidP="009C62E4">
            <w:pPr>
              <w:pStyle w:val="Paragraph"/>
            </w:pPr>
            <w:proofErr w:type="spellStart"/>
            <w:r w:rsidRPr="00CD795F">
              <w:t>Arbitrum</w:t>
            </w:r>
            <w:proofErr w:type="spellEnd"/>
            <w:r w:rsidRPr="00CD795F">
              <w:t xml:space="preserve"> One*</w:t>
            </w:r>
          </w:p>
        </w:tc>
        <w:tc>
          <w:tcPr>
            <w:tcW w:w="1251" w:type="pct"/>
          </w:tcPr>
          <w:p w14:paraId="572158E1" w14:textId="373EA152" w:rsidR="00CD795F" w:rsidRPr="005A0E21" w:rsidRDefault="00CD795F" w:rsidP="009C62E4">
            <w:pPr>
              <w:jc w:val="center"/>
              <w:rPr>
                <w:sz w:val="20"/>
              </w:rPr>
            </w:pPr>
            <w:r w:rsidRPr="00844E9A">
              <w:rPr>
                <w:sz w:val="20"/>
              </w:rPr>
              <w:t>0.</w:t>
            </w:r>
            <w:r>
              <w:rPr>
                <w:sz w:val="20"/>
              </w:rPr>
              <w:t>11</w:t>
            </w:r>
          </w:p>
        </w:tc>
        <w:tc>
          <w:tcPr>
            <w:tcW w:w="1250" w:type="pct"/>
          </w:tcPr>
          <w:p w14:paraId="355B85D5" w14:textId="24158520" w:rsidR="00CD795F" w:rsidRPr="005A0E21" w:rsidRDefault="00CD795F" w:rsidP="009C62E4">
            <w:pPr>
              <w:jc w:val="center"/>
              <w:rPr>
                <w:sz w:val="20"/>
              </w:rPr>
            </w:pPr>
            <w:r>
              <w:rPr>
                <w:sz w:val="20"/>
              </w:rPr>
              <w:t>0.012</w:t>
            </w:r>
          </w:p>
        </w:tc>
        <w:tc>
          <w:tcPr>
            <w:tcW w:w="1249" w:type="pct"/>
          </w:tcPr>
          <w:p w14:paraId="4587F4F9" w14:textId="6F2220DB" w:rsidR="00CD795F" w:rsidRDefault="00CD795F" w:rsidP="009C62E4">
            <w:pPr>
              <w:jc w:val="center"/>
              <w:rPr>
                <w:sz w:val="20"/>
              </w:rPr>
            </w:pPr>
            <w:r>
              <w:rPr>
                <w:sz w:val="20"/>
              </w:rPr>
              <w:t>96.2%</w:t>
            </w:r>
          </w:p>
        </w:tc>
      </w:tr>
      <w:tr w:rsidR="00CD795F" w:rsidRPr="005A0E21" w14:paraId="6EC1F1B2" w14:textId="0BCDBF77" w:rsidTr="00B717F6">
        <w:trPr>
          <w:cantSplit/>
          <w:trHeight w:val="237"/>
          <w:jc w:val="center"/>
        </w:trPr>
        <w:tc>
          <w:tcPr>
            <w:tcW w:w="1250" w:type="pct"/>
          </w:tcPr>
          <w:p w14:paraId="4EF1278B" w14:textId="3B4169B0" w:rsidR="00CD795F" w:rsidRPr="009703AF" w:rsidRDefault="00CD795F" w:rsidP="009C62E4">
            <w:pPr>
              <w:pStyle w:val="Paragraph"/>
            </w:pPr>
            <w:proofErr w:type="spellStart"/>
            <w:r w:rsidRPr="00CD795F">
              <w:t>zkSync</w:t>
            </w:r>
            <w:proofErr w:type="spellEnd"/>
            <w:r w:rsidRPr="00CD795F">
              <w:t xml:space="preserve"> Era*</w:t>
            </w:r>
          </w:p>
        </w:tc>
        <w:tc>
          <w:tcPr>
            <w:tcW w:w="1251" w:type="pct"/>
          </w:tcPr>
          <w:p w14:paraId="1486E15B" w14:textId="20206CBE" w:rsidR="00CD795F" w:rsidRPr="009703AF" w:rsidRDefault="00CD795F" w:rsidP="009C62E4">
            <w:pPr>
              <w:jc w:val="center"/>
              <w:rPr>
                <w:sz w:val="20"/>
              </w:rPr>
            </w:pPr>
            <w:r>
              <w:rPr>
                <w:sz w:val="20"/>
              </w:rPr>
              <w:t>0.05</w:t>
            </w:r>
          </w:p>
        </w:tc>
        <w:tc>
          <w:tcPr>
            <w:tcW w:w="1250" w:type="pct"/>
          </w:tcPr>
          <w:p w14:paraId="15801C14" w14:textId="37492FD2" w:rsidR="00CD795F" w:rsidRDefault="00CD795F" w:rsidP="009C62E4">
            <w:pPr>
              <w:jc w:val="center"/>
              <w:rPr>
                <w:sz w:val="20"/>
              </w:rPr>
            </w:pPr>
            <w:r>
              <w:rPr>
                <w:sz w:val="20"/>
              </w:rPr>
              <w:t>0.009</w:t>
            </w:r>
          </w:p>
        </w:tc>
        <w:tc>
          <w:tcPr>
            <w:tcW w:w="1249" w:type="pct"/>
          </w:tcPr>
          <w:p w14:paraId="6F36E4E3" w14:textId="402107E0" w:rsidR="00CD795F" w:rsidRDefault="00CD795F" w:rsidP="009C62E4">
            <w:pPr>
              <w:jc w:val="center"/>
              <w:rPr>
                <w:sz w:val="20"/>
              </w:rPr>
            </w:pPr>
            <w:r>
              <w:rPr>
                <w:sz w:val="20"/>
              </w:rPr>
              <w:t>98.3%</w:t>
            </w:r>
          </w:p>
        </w:tc>
      </w:tr>
    </w:tbl>
    <w:p w14:paraId="58D57541" w14:textId="074C4CFF" w:rsidR="00E41C45" w:rsidRPr="00847B6E" w:rsidRDefault="007158C1" w:rsidP="00E41C45">
      <w:pPr>
        <w:rPr>
          <w:i/>
          <w:iCs/>
          <w:sz w:val="20"/>
        </w:rPr>
      </w:pPr>
      <w:r w:rsidRPr="00847B6E">
        <w:rPr>
          <w:i/>
          <w:iCs/>
          <w:sz w:val="20"/>
        </w:rPr>
        <w:t>*Single‑batch replay for comparability.</w:t>
      </w:r>
    </w:p>
    <w:p w14:paraId="384BCEEE" w14:textId="04C6F86B" w:rsidR="005D0EA0" w:rsidRPr="00847B6E" w:rsidRDefault="00A43A72" w:rsidP="00E41C45">
      <w:pPr>
        <w:rPr>
          <w:i/>
          <w:iCs/>
          <w:sz w:val="20"/>
        </w:rPr>
      </w:pPr>
      <w:r w:rsidRPr="00847B6E">
        <w:rPr>
          <w:i/>
          <w:iCs/>
          <w:sz w:val="20"/>
        </w:rPr>
        <w:t>Polygon drives the total checkout fee on a USD 50 basket down to 0.12 %, beating the &lt; 0.5 % target and breaking even against Stripe (2.9 % + USD 0.30) at USD 1.00. A one‑tailed t‑test (main‑net vs Polygon, n = 5) yields p &lt; 0.001, confirming a statistically significant reduction</w:t>
      </w:r>
      <w:r w:rsidR="005D0EA0" w:rsidRPr="00847B6E">
        <w:rPr>
          <w:i/>
          <w:iCs/>
          <w:sz w:val="20"/>
        </w:rPr>
        <w:t>.</w:t>
      </w:r>
    </w:p>
    <w:p w14:paraId="58302011" w14:textId="77777777" w:rsidR="003B2C38" w:rsidRDefault="003B2C38" w:rsidP="00E41C45">
      <w:pPr>
        <w:rPr>
          <w:sz w:val="20"/>
        </w:rPr>
      </w:pPr>
    </w:p>
    <w:p w14:paraId="624BC9EB" w14:textId="3A71D3B0" w:rsidR="003B2C38" w:rsidRDefault="003B2C38" w:rsidP="003663F4">
      <w:pPr>
        <w:jc w:val="center"/>
        <w:rPr>
          <w:sz w:val="20"/>
        </w:rPr>
      </w:pPr>
      <w:r>
        <w:rPr>
          <w:noProof/>
          <w:sz w:val="20"/>
        </w:rPr>
        <w:drawing>
          <wp:inline distT="0" distB="0" distL="0" distR="0" wp14:anchorId="3BD2E5A6" wp14:editId="11E5B7B0">
            <wp:extent cx="4942390" cy="3079490"/>
            <wp:effectExtent l="0" t="0" r="0" b="0"/>
            <wp:docPr id="702181134" name="Picture 1" descr="A graph of a graph&#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2181134" name="Picture 1" descr="A graph of a graph&#10;&#10;AI-generated content may be incorrect."/>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958514" cy="3089536"/>
                    </a:xfrm>
                    <a:prstGeom prst="rect">
                      <a:avLst/>
                    </a:prstGeom>
                  </pic:spPr>
                </pic:pic>
              </a:graphicData>
            </a:graphic>
          </wp:inline>
        </w:drawing>
      </w:r>
    </w:p>
    <w:p w14:paraId="3B22054C" w14:textId="6B0BFA7B" w:rsidR="005B3F6D" w:rsidRDefault="00FD0139" w:rsidP="00B717F6">
      <w:pPr>
        <w:pStyle w:val="Caption"/>
        <w:spacing w:after="0"/>
        <w:jc w:val="center"/>
        <w:rPr>
          <w:rFonts w:eastAsia="SimSun"/>
          <w:i w:val="0"/>
          <w:iCs w:val="0"/>
          <w:noProof/>
          <w:color w:val="auto"/>
        </w:rPr>
      </w:pPr>
      <w:bookmarkStart w:id="9" w:name="_Ref197866853"/>
      <w:r w:rsidRPr="00B717F6">
        <w:rPr>
          <w:rFonts w:eastAsia="DengXian"/>
          <w:b/>
          <w:bCs/>
          <w:i w:val="0"/>
          <w:iCs w:val="0"/>
          <w:color w:val="auto"/>
        </w:rPr>
        <w:t xml:space="preserve">FIGURE </w:t>
      </w:r>
      <w:r w:rsidR="005B3F6D" w:rsidRPr="00B717F6">
        <w:rPr>
          <w:rFonts w:eastAsia="DengXian"/>
          <w:b/>
          <w:bCs/>
          <w:i w:val="0"/>
          <w:iCs w:val="0"/>
          <w:color w:val="auto"/>
        </w:rPr>
        <w:fldChar w:fldCharType="begin"/>
      </w:r>
      <w:r w:rsidR="005B3F6D" w:rsidRPr="00B717F6">
        <w:rPr>
          <w:rFonts w:eastAsia="DengXian"/>
          <w:b/>
          <w:bCs/>
          <w:i w:val="0"/>
          <w:iCs w:val="0"/>
          <w:color w:val="auto"/>
        </w:rPr>
        <w:instrText xml:space="preserve"> SEQ Figure \* ARABIC </w:instrText>
      </w:r>
      <w:r w:rsidR="005B3F6D" w:rsidRPr="00B717F6">
        <w:rPr>
          <w:rFonts w:eastAsia="DengXian"/>
          <w:b/>
          <w:bCs/>
          <w:i w:val="0"/>
          <w:iCs w:val="0"/>
          <w:color w:val="auto"/>
        </w:rPr>
        <w:fldChar w:fldCharType="separate"/>
      </w:r>
      <w:r w:rsidR="005B631B">
        <w:rPr>
          <w:rFonts w:eastAsia="DengXian"/>
          <w:b/>
          <w:bCs/>
          <w:i w:val="0"/>
          <w:iCs w:val="0"/>
          <w:noProof/>
          <w:color w:val="auto"/>
        </w:rPr>
        <w:t>4</w:t>
      </w:r>
      <w:r w:rsidR="005B3F6D" w:rsidRPr="00B717F6">
        <w:rPr>
          <w:rFonts w:eastAsia="DengXian"/>
          <w:b/>
          <w:bCs/>
          <w:i w:val="0"/>
          <w:iCs w:val="0"/>
          <w:color w:val="auto"/>
        </w:rPr>
        <w:fldChar w:fldCharType="end"/>
      </w:r>
      <w:bookmarkEnd w:id="9"/>
      <w:r w:rsidRPr="00B717F6">
        <w:rPr>
          <w:rFonts w:eastAsia="DengXian"/>
          <w:b/>
          <w:bCs/>
          <w:i w:val="0"/>
          <w:iCs w:val="0"/>
          <w:color w:val="auto"/>
        </w:rPr>
        <w:t>.</w:t>
      </w:r>
      <w:r w:rsidRPr="00B717F6">
        <w:rPr>
          <w:rFonts w:eastAsia="SimSun"/>
          <w:i w:val="0"/>
          <w:iCs w:val="0"/>
          <w:noProof/>
          <w:color w:val="auto"/>
        </w:rPr>
        <w:t xml:space="preserve"> </w:t>
      </w:r>
      <w:r w:rsidR="005B3F6D" w:rsidRPr="00B717F6">
        <w:rPr>
          <w:rFonts w:eastAsia="SimSun"/>
          <w:i w:val="0"/>
          <w:iCs w:val="0"/>
          <w:noProof/>
          <w:color w:val="auto"/>
        </w:rPr>
        <w:t>Throughput and confirmation latency as a function of roll‑up batch size</w:t>
      </w:r>
    </w:p>
    <w:p w14:paraId="073A5D58" w14:textId="77777777" w:rsidR="00B717F6" w:rsidRPr="00B717F6" w:rsidRDefault="00B717F6" w:rsidP="00B717F6">
      <w:pPr>
        <w:rPr>
          <w:rFonts w:eastAsia="SimSun"/>
        </w:rPr>
      </w:pPr>
    </w:p>
    <w:p w14:paraId="438361BD" w14:textId="0E44AACE" w:rsidR="00157179" w:rsidRPr="00C63D0C" w:rsidRDefault="00C63D0C" w:rsidP="00847B6E">
      <w:pPr>
        <w:ind w:firstLine="288"/>
        <w:jc w:val="both"/>
        <w:rPr>
          <w:b/>
          <w:bCs/>
          <w:sz w:val="20"/>
        </w:rPr>
      </w:pPr>
      <w:r w:rsidRPr="00C63D0C">
        <w:rPr>
          <w:sz w:val="20"/>
        </w:rPr>
        <w:t>For p</w:t>
      </w:r>
      <w:r w:rsidR="0017022D" w:rsidRPr="00C63D0C">
        <w:rPr>
          <w:sz w:val="20"/>
        </w:rPr>
        <w:t>erformance</w:t>
      </w:r>
      <w:r w:rsidR="00A96810">
        <w:rPr>
          <w:sz w:val="20"/>
        </w:rPr>
        <w:t>,</w:t>
      </w:r>
      <w:r>
        <w:rPr>
          <w:b/>
          <w:bCs/>
          <w:sz w:val="20"/>
        </w:rPr>
        <w:t xml:space="preserve"> </w:t>
      </w:r>
      <w:r w:rsidR="009455CC" w:rsidRPr="009455CC">
        <w:rPr>
          <w:sz w:val="20"/>
        </w:rPr>
        <w:fldChar w:fldCharType="begin"/>
      </w:r>
      <w:r w:rsidR="009455CC">
        <w:rPr>
          <w:sz w:val="20"/>
        </w:rPr>
        <w:instrText xml:space="preserve"> REF _Ref197866853 \h  \* MERGEFORMAT </w:instrText>
      </w:r>
      <w:r w:rsidR="009455CC" w:rsidRPr="009455CC">
        <w:rPr>
          <w:sz w:val="20"/>
        </w:rPr>
      </w:r>
      <w:r w:rsidR="009455CC" w:rsidRPr="009455CC">
        <w:rPr>
          <w:sz w:val="20"/>
        </w:rPr>
        <w:fldChar w:fldCharType="separate"/>
      </w:r>
      <w:r w:rsidR="005B631B" w:rsidRPr="005B631B">
        <w:rPr>
          <w:sz w:val="20"/>
        </w:rPr>
        <w:t>FIGURE 4</w:t>
      </w:r>
      <w:r w:rsidR="009455CC" w:rsidRPr="009455CC">
        <w:rPr>
          <w:sz w:val="20"/>
        </w:rPr>
        <w:fldChar w:fldCharType="end"/>
      </w:r>
      <w:r w:rsidR="00756E3B" w:rsidRPr="00756E3B">
        <w:rPr>
          <w:sz w:val="20"/>
        </w:rPr>
        <w:t xml:space="preserve"> plots throughput against batch size. The sweet spot is batch = 250, where </w:t>
      </w:r>
      <w:proofErr w:type="spellStart"/>
      <w:r w:rsidR="00756E3B" w:rsidRPr="00756E3B">
        <w:rPr>
          <w:sz w:val="20"/>
        </w:rPr>
        <w:t>Ecochain</w:t>
      </w:r>
      <w:proofErr w:type="spellEnd"/>
      <w:r w:rsidR="00756E3B" w:rsidRPr="00756E3B">
        <w:rPr>
          <w:sz w:val="20"/>
        </w:rPr>
        <w:t xml:space="preserve"> sustains 170 ± 4 TPS with a median latency of 2.3 ± 0.2 s (P95 = 3.1 s), comfortably exceeding the 100 TPS requirement for mid‑sized merchants. CPU </w:t>
      </w:r>
      <w:proofErr w:type="spellStart"/>
      <w:r w:rsidR="00756E3B" w:rsidRPr="00756E3B">
        <w:rPr>
          <w:sz w:val="20"/>
        </w:rPr>
        <w:t>utilisation</w:t>
      </w:r>
      <w:proofErr w:type="spellEnd"/>
      <w:r w:rsidR="00756E3B" w:rsidRPr="00756E3B">
        <w:rPr>
          <w:sz w:val="20"/>
        </w:rPr>
        <w:t xml:space="preserve"> peaks at 61 %, leaving ample headroom; cost per million checkouts is ≈ USD 57 (USD 36 compute + 21 Polygon gas).</w:t>
      </w:r>
      <w:r>
        <w:rPr>
          <w:b/>
          <w:bCs/>
          <w:sz w:val="20"/>
        </w:rPr>
        <w:t xml:space="preserve"> </w:t>
      </w:r>
      <w:r w:rsidRPr="00C63D0C">
        <w:rPr>
          <w:sz w:val="20"/>
        </w:rPr>
        <w:t>For s</w:t>
      </w:r>
      <w:r w:rsidR="00BE04D0" w:rsidRPr="00C63D0C">
        <w:rPr>
          <w:sz w:val="20"/>
        </w:rPr>
        <w:t xml:space="preserve">ecurity </w:t>
      </w:r>
      <w:r w:rsidRPr="00C63D0C">
        <w:rPr>
          <w:sz w:val="20"/>
        </w:rPr>
        <w:t>e</w:t>
      </w:r>
      <w:r w:rsidR="00BE04D0" w:rsidRPr="00C63D0C">
        <w:rPr>
          <w:sz w:val="20"/>
        </w:rPr>
        <w:t>valuation</w:t>
      </w:r>
      <w:r w:rsidR="00A96810">
        <w:rPr>
          <w:sz w:val="20"/>
        </w:rPr>
        <w:t>,</w:t>
      </w:r>
      <w:r>
        <w:rPr>
          <w:b/>
          <w:bCs/>
          <w:sz w:val="20"/>
        </w:rPr>
        <w:t xml:space="preserve"> </w:t>
      </w:r>
      <w:r w:rsidR="001777B0" w:rsidRPr="001777B0">
        <w:rPr>
          <w:sz w:val="20"/>
        </w:rPr>
        <w:t>Static analysis (Slither) and dynamic fuzzing (Echidna, 50</w:t>
      </w:r>
      <w:r w:rsidR="00A96810">
        <w:rPr>
          <w:sz w:val="20"/>
        </w:rPr>
        <w:t>,</w:t>
      </w:r>
      <w:r w:rsidR="001777B0" w:rsidRPr="001777B0">
        <w:rPr>
          <w:sz w:val="20"/>
        </w:rPr>
        <w:t xml:space="preserve">000 tests) reported no critical vulnerabilities; Hardhat‑coverage shows 92 % branch coverage, and </w:t>
      </w:r>
      <w:proofErr w:type="spellStart"/>
      <w:r w:rsidR="001777B0" w:rsidRPr="001777B0">
        <w:rPr>
          <w:sz w:val="20"/>
        </w:rPr>
        <w:t>MythX</w:t>
      </w:r>
      <w:proofErr w:type="spellEnd"/>
      <w:r w:rsidR="001777B0" w:rsidRPr="001777B0">
        <w:rPr>
          <w:sz w:val="20"/>
        </w:rPr>
        <w:t xml:space="preserve"> finds no byte‑code discrepancies on Polygon Mumbai.</w:t>
      </w:r>
      <w:r w:rsidR="001777B0">
        <w:rPr>
          <w:sz w:val="20"/>
        </w:rPr>
        <w:t xml:space="preserve"> </w:t>
      </w:r>
      <w:r w:rsidR="001777B0" w:rsidRPr="001777B0">
        <w:rPr>
          <w:sz w:val="20"/>
        </w:rPr>
        <w:t>The audit</w:t>
      </w:r>
      <w:r w:rsidR="00A96810">
        <w:rPr>
          <w:sz w:val="20"/>
        </w:rPr>
        <w:t>,</w:t>
      </w:r>
      <w:r w:rsidR="001777B0" w:rsidRPr="001777B0">
        <w:rPr>
          <w:sz w:val="20"/>
        </w:rPr>
        <w:t xml:space="preserve"> therefore</w:t>
      </w:r>
      <w:r w:rsidR="00A96810">
        <w:rPr>
          <w:sz w:val="20"/>
        </w:rPr>
        <w:t>,</w:t>
      </w:r>
      <w:r w:rsidR="001777B0" w:rsidRPr="001777B0">
        <w:rPr>
          <w:sz w:val="20"/>
        </w:rPr>
        <w:t xml:space="preserve"> places </w:t>
      </w:r>
      <w:proofErr w:type="spellStart"/>
      <w:r w:rsidR="001777B0" w:rsidRPr="001777B0">
        <w:rPr>
          <w:sz w:val="20"/>
        </w:rPr>
        <w:t>Ecochain</w:t>
      </w:r>
      <w:proofErr w:type="spellEnd"/>
      <w:r w:rsidR="001777B0" w:rsidRPr="001777B0">
        <w:rPr>
          <w:sz w:val="20"/>
        </w:rPr>
        <w:t xml:space="preserve"> on par with, and in some vectors ahead of, incumbent custodial PSPs</w:t>
      </w:r>
      <w:r w:rsidR="00157179" w:rsidRPr="00157179">
        <w:rPr>
          <w:sz w:val="20"/>
        </w:rPr>
        <w:t>.</w:t>
      </w:r>
    </w:p>
    <w:p w14:paraId="1DA8E95C" w14:textId="2264DCB9" w:rsidR="008925E5" w:rsidRDefault="008925E5" w:rsidP="008925E5">
      <w:pPr>
        <w:pStyle w:val="Heading1"/>
      </w:pPr>
      <w:r>
        <w:lastRenderedPageBreak/>
        <w:t>Discussion</w:t>
      </w:r>
    </w:p>
    <w:p w14:paraId="4658012C" w14:textId="0429EC36" w:rsidR="001A066E" w:rsidRPr="001A066E" w:rsidRDefault="001A066E" w:rsidP="001A066E">
      <w:pPr>
        <w:pStyle w:val="Paragraph"/>
      </w:pPr>
      <w:r w:rsidRPr="001A066E">
        <w:t>Batching check‑outs on Polygon slashes the mean settlement fee from USD 2.87 ± 0.14 on Ethereum to USD 0.021 ± 0.003</w:t>
      </w:r>
      <w:r>
        <w:t xml:space="preserve"> </w:t>
      </w:r>
      <w:r w:rsidRPr="001A066E">
        <w:t xml:space="preserve">a 99.3 % saving that drives the cost of a USD 50 basket down to 0.12 %, comfortably below the &lt; 0.5 % target and reaching fee‑parity with Stripe at just USD 1.00; meanwhile, on a single t3.medium (≈ USD 34 month⁻¹) </w:t>
      </w:r>
      <w:proofErr w:type="spellStart"/>
      <w:r w:rsidRPr="001A066E">
        <w:t>Ecochain</w:t>
      </w:r>
      <w:proofErr w:type="spellEnd"/>
      <w:r w:rsidRPr="001A066E">
        <w:t xml:space="preserve"> sustains 170 ± 4 TPS at batch = 250, with median confirmations of 2.3 ± 0.2 s and 61 % CPU </w:t>
      </w:r>
      <w:r w:rsidR="002A64A1" w:rsidRPr="001A066E">
        <w:t>utilization</w:t>
      </w:r>
      <w:r w:rsidRPr="001A066E">
        <w:t>, showing that commodity hardware can support about 8 000 check‑outs per minute. A three‑layer audit</w:t>
      </w:r>
      <w:r w:rsidR="002A64A1">
        <w:t xml:space="preserve"> </w:t>
      </w:r>
      <w:r w:rsidRPr="001A066E">
        <w:t>static (Slither), dynamic (Echidna, 50</w:t>
      </w:r>
      <w:r w:rsidR="002D2C81">
        <w:t>,</w:t>
      </w:r>
      <w:r w:rsidRPr="001A066E">
        <w:t>000 fuzz cases)</w:t>
      </w:r>
      <w:r w:rsidR="002D2C81">
        <w:t>,</w:t>
      </w:r>
      <w:r w:rsidRPr="001A066E">
        <w:t xml:space="preserve"> and differential (</w:t>
      </w:r>
      <w:proofErr w:type="spellStart"/>
      <w:r w:rsidRPr="001A066E">
        <w:t>MythX</w:t>
      </w:r>
      <w:proofErr w:type="spellEnd"/>
      <w:r w:rsidRPr="001A066E">
        <w:t>)</w:t>
      </w:r>
      <w:r>
        <w:t xml:space="preserve"> </w:t>
      </w:r>
      <w:r w:rsidRPr="001A066E">
        <w:t xml:space="preserve">found zero critical issues and 92 % branch coverage, satisfying PCI “no‑card‑data” rules and placing </w:t>
      </w:r>
      <w:proofErr w:type="spellStart"/>
      <w:r w:rsidRPr="001A066E">
        <w:t>Ecochain</w:t>
      </w:r>
      <w:proofErr w:type="spellEnd"/>
      <w:r w:rsidRPr="001A066E">
        <w:t xml:space="preserve"> on par with custodial PSPs while eliminating custody risk. Limitations remain: (</w:t>
      </w:r>
      <w:proofErr w:type="spellStart"/>
      <w:r w:rsidRPr="001A066E">
        <w:t>i</w:t>
      </w:r>
      <w:proofErr w:type="spellEnd"/>
      <w:r w:rsidRPr="001A066E">
        <w:t>) gas‑price volatility (a 10× spike on the 30 </w:t>
      </w:r>
      <w:proofErr w:type="spellStart"/>
      <w:r w:rsidRPr="001A066E">
        <w:t>gwei</w:t>
      </w:r>
      <w:proofErr w:type="spellEnd"/>
      <w:r w:rsidRPr="001A066E">
        <w:t xml:space="preserve"> baseline would raise costs ≈ 5 %, partly offset by batching), (ii) synthetic workload bias (Zipf 1.2 traffic may under‑represent flash‑sale bursts &gt; 1</w:t>
      </w:r>
      <w:r>
        <w:t>,</w:t>
      </w:r>
      <w:r w:rsidRPr="001A066E">
        <w:t>000 TPS, for which horizontal aggregator sharding is planned), (iii) test‑net versus main‑net differences such as MEV</w:t>
      </w:r>
      <w:r>
        <w:t xml:space="preserve">, </w:t>
      </w:r>
      <w:r w:rsidRPr="001A066E">
        <w:t>hence the guarded‑launch plan with on‑chain monitors and circuit breakers</w:t>
      </w:r>
      <w:r>
        <w:t xml:space="preserve"> </w:t>
      </w:r>
      <w:r w:rsidRPr="001A066E">
        <w:t xml:space="preserve">and (iv) wallet onboarding friction, which forthcoming ERC‑4337 smart accounts and fiat on‑ramps aim to ease. Even with these caveats, </w:t>
      </w:r>
      <w:proofErr w:type="spellStart"/>
      <w:r w:rsidRPr="001A066E">
        <w:t>Ecochain’s</w:t>
      </w:r>
      <w:proofErr w:type="spellEnd"/>
      <w:r w:rsidRPr="001A066E">
        <w:t xml:space="preserve"> sub‑cent fees reopen micro‑sales for music, gaming</w:t>
      </w:r>
      <w:r>
        <w:t>,</w:t>
      </w:r>
      <w:r w:rsidRPr="001A066E">
        <w:t xml:space="preserve"> and charity merchants, demonstrate to regulators that roll‑ups can meet PCI‑DSS logging and “no‑card‑data” mandates (supporting </w:t>
      </w:r>
      <w:proofErr w:type="spellStart"/>
      <w:r w:rsidRPr="001A066E">
        <w:t>MiCA</w:t>
      </w:r>
      <w:proofErr w:type="spellEnd"/>
      <w:r w:rsidRPr="001A066E">
        <w:t xml:space="preserve"> and Malaysia SC‑DAX compliance), and give payment‑gateway operators an open‑source aggregator that drops into Shopify or WooCommerce without disrupting existing flows.</w:t>
      </w:r>
    </w:p>
    <w:p w14:paraId="6637148A" w14:textId="2A083ED4" w:rsidR="00566D57" w:rsidRDefault="00566D57" w:rsidP="00566D57">
      <w:pPr>
        <w:pStyle w:val="Heading1"/>
      </w:pPr>
      <w:r>
        <w:t>CONCLUSION</w:t>
      </w:r>
    </w:p>
    <w:p w14:paraId="61A5E421" w14:textId="15D8D084" w:rsidR="00566D57" w:rsidRPr="00566D57" w:rsidRDefault="00C233B5" w:rsidP="009B06CF">
      <w:pPr>
        <w:spacing w:before="240" w:after="240"/>
        <w:ind w:firstLine="288"/>
        <w:jc w:val="both"/>
        <w:rPr>
          <w:sz w:val="20"/>
        </w:rPr>
      </w:pPr>
      <w:r w:rsidRPr="00C233B5">
        <w:rPr>
          <w:sz w:val="20"/>
        </w:rPr>
        <w:t xml:space="preserve">This study introduced </w:t>
      </w:r>
      <w:proofErr w:type="spellStart"/>
      <w:r w:rsidRPr="00C233B5">
        <w:rPr>
          <w:sz w:val="20"/>
        </w:rPr>
        <w:t>Ecochain</w:t>
      </w:r>
      <w:proofErr w:type="spellEnd"/>
      <w:r w:rsidRPr="00C233B5">
        <w:rPr>
          <w:sz w:val="20"/>
        </w:rPr>
        <w:t>, a roll‑up</w:t>
      </w:r>
      <w:r w:rsidR="0046745F">
        <w:rPr>
          <w:sz w:val="20"/>
        </w:rPr>
        <w:t xml:space="preserve"> </w:t>
      </w:r>
      <w:r w:rsidRPr="00C233B5">
        <w:rPr>
          <w:sz w:val="20"/>
        </w:rPr>
        <w:t xml:space="preserve">enabled payment gateway that integrates natively with Shopify and lowers checkout fees by 99.3 % while achieving 170 TPS and &lt; 3s median latency on commodity cloud hardware. These results confirm that Layer‑2 </w:t>
      </w:r>
      <w:r w:rsidR="000159EE" w:rsidRPr="00C233B5">
        <w:rPr>
          <w:sz w:val="20"/>
        </w:rPr>
        <w:t>crypt payments</w:t>
      </w:r>
      <w:r w:rsidRPr="00C233B5">
        <w:rPr>
          <w:sz w:val="20"/>
        </w:rPr>
        <w:t xml:space="preserve"> can meet the economic (&lt; 0.5 % fee) and usability (&lt; 3s confirmation) thresholds of mainstream e‑commerce.  </w:t>
      </w:r>
      <w:r>
        <w:rPr>
          <w:sz w:val="20"/>
        </w:rPr>
        <w:t xml:space="preserve">In </w:t>
      </w:r>
      <w:r w:rsidR="000159EE">
        <w:rPr>
          <w:sz w:val="20"/>
        </w:rPr>
        <w:t xml:space="preserve">the </w:t>
      </w:r>
      <w:r>
        <w:rPr>
          <w:sz w:val="20"/>
        </w:rPr>
        <w:t>future</w:t>
      </w:r>
      <w:r w:rsidR="000159EE">
        <w:rPr>
          <w:sz w:val="20"/>
        </w:rPr>
        <w:t>,</w:t>
      </w:r>
      <w:r>
        <w:rPr>
          <w:sz w:val="20"/>
        </w:rPr>
        <w:t xml:space="preserve"> we will work on </w:t>
      </w:r>
      <w:r w:rsidRPr="00C233B5">
        <w:rPr>
          <w:sz w:val="20"/>
        </w:rPr>
        <w:t xml:space="preserve">Cross‑chain reach. Port </w:t>
      </w:r>
      <w:proofErr w:type="spellStart"/>
      <w:r w:rsidRPr="00C233B5">
        <w:rPr>
          <w:sz w:val="20"/>
        </w:rPr>
        <w:t>Ecochain</w:t>
      </w:r>
      <w:proofErr w:type="spellEnd"/>
      <w:r w:rsidRPr="00C233B5">
        <w:rPr>
          <w:sz w:val="20"/>
        </w:rPr>
        <w:t xml:space="preserve"> to BNB Chain and </w:t>
      </w:r>
      <w:proofErr w:type="spellStart"/>
      <w:r w:rsidRPr="00C233B5">
        <w:rPr>
          <w:sz w:val="20"/>
        </w:rPr>
        <w:t>zkSync</w:t>
      </w:r>
      <w:proofErr w:type="spellEnd"/>
      <w:r w:rsidRPr="00C233B5">
        <w:rPr>
          <w:sz w:val="20"/>
        </w:rPr>
        <w:t xml:space="preserve"> Era to broaden fiat on‑ramp coverage and resilience.  Advanced ZK‑roll‑ups. Replace the current STARK prover with a Groth16 circuit to reduce proof size and speed finality.  Account abstraction. Adopt ERC‑4337 smart wallets to remove seed‑phrase management for first‑time shoppers.  We believe these extensions will further reduce barriers for small merchants and accelerate the transition toward </w:t>
      </w:r>
      <w:r w:rsidR="000159EE" w:rsidRPr="00C233B5">
        <w:rPr>
          <w:sz w:val="20"/>
        </w:rPr>
        <w:t>decentralized</w:t>
      </w:r>
      <w:r w:rsidRPr="00C233B5">
        <w:rPr>
          <w:sz w:val="20"/>
        </w:rPr>
        <w:t xml:space="preserve"> retail at </w:t>
      </w:r>
      <w:r w:rsidR="000159EE">
        <w:rPr>
          <w:sz w:val="20"/>
        </w:rPr>
        <w:t xml:space="preserve">a </w:t>
      </w:r>
      <w:r w:rsidRPr="00C233B5">
        <w:rPr>
          <w:sz w:val="20"/>
        </w:rPr>
        <w:t>global scale.</w:t>
      </w:r>
    </w:p>
    <w:bookmarkEnd w:id="0"/>
    <w:bookmarkEnd w:id="3"/>
    <w:bookmarkEnd w:id="7"/>
    <w:p w14:paraId="3D6F1C41" w14:textId="42DB9C2E" w:rsidR="00E44A60" w:rsidRPr="00950BAD" w:rsidRDefault="0016385D" w:rsidP="00950BAD">
      <w:pPr>
        <w:pStyle w:val="Heading1"/>
        <w:rPr>
          <w:b w:val="0"/>
          <w:caps w:val="0"/>
          <w:sz w:val="20"/>
        </w:rPr>
      </w:pPr>
      <w:r w:rsidRPr="00075EA6">
        <w:rPr>
          <w:rFonts w:asciiTheme="majorBidi" w:hAnsiTheme="majorBidi" w:cstheme="majorBidi"/>
        </w:rPr>
        <w:t>References</w:t>
      </w:r>
    </w:p>
    <w:p w14:paraId="4D51650E" w14:textId="77777777" w:rsidR="006A6A49" w:rsidRPr="006A6A49" w:rsidRDefault="00E44A60" w:rsidP="006A6A49">
      <w:pPr>
        <w:pStyle w:val="EndNoteBibliography"/>
        <w:ind w:left="720" w:hanging="720"/>
        <w:rPr>
          <w:noProof/>
        </w:rPr>
      </w:pPr>
      <w:r>
        <w:fldChar w:fldCharType="begin"/>
      </w:r>
      <w:r>
        <w:instrText xml:space="preserve"> ADDIN EN.REFLIST </w:instrText>
      </w:r>
      <w:r>
        <w:fldChar w:fldCharType="separate"/>
      </w:r>
      <w:r w:rsidR="006A6A49" w:rsidRPr="006A6A49">
        <w:rPr>
          <w:noProof/>
        </w:rPr>
        <w:t>1.</w:t>
      </w:r>
      <w:r w:rsidR="006A6A49" w:rsidRPr="006A6A49">
        <w:rPr>
          <w:noProof/>
        </w:rPr>
        <w:tab/>
        <w:t xml:space="preserve">Donmez, A. and A. Karaivanov, </w:t>
      </w:r>
      <w:r w:rsidR="006A6A49" w:rsidRPr="006A6A49">
        <w:rPr>
          <w:i/>
          <w:noProof/>
        </w:rPr>
        <w:t>Transaction fee economics in the Ethereum blockchain.</w:t>
      </w:r>
      <w:r w:rsidR="006A6A49" w:rsidRPr="006A6A49">
        <w:rPr>
          <w:noProof/>
        </w:rPr>
        <w:t xml:space="preserve"> Economic Inquiry, 2022. </w:t>
      </w:r>
      <w:r w:rsidR="006A6A49" w:rsidRPr="006A6A49">
        <w:rPr>
          <w:b/>
          <w:noProof/>
        </w:rPr>
        <w:t>60</w:t>
      </w:r>
      <w:r w:rsidR="006A6A49" w:rsidRPr="006A6A49">
        <w:rPr>
          <w:noProof/>
        </w:rPr>
        <w:t>(1): p. 265-292.</w:t>
      </w:r>
    </w:p>
    <w:p w14:paraId="0F74FFA1" w14:textId="77777777" w:rsidR="006A6A49" w:rsidRPr="006A6A49" w:rsidRDefault="006A6A49" w:rsidP="006A6A49">
      <w:pPr>
        <w:pStyle w:val="EndNoteBibliography"/>
        <w:ind w:left="720" w:hanging="720"/>
        <w:rPr>
          <w:noProof/>
        </w:rPr>
      </w:pPr>
      <w:r w:rsidRPr="006A6A49">
        <w:rPr>
          <w:noProof/>
        </w:rPr>
        <w:t>2.</w:t>
      </w:r>
      <w:r w:rsidRPr="006A6A49">
        <w:rPr>
          <w:noProof/>
        </w:rPr>
        <w:tab/>
        <w:t xml:space="preserve">Yoon, J. and Y. Kim, </w:t>
      </w:r>
      <w:r w:rsidRPr="006A6A49">
        <w:rPr>
          <w:i/>
          <w:noProof/>
        </w:rPr>
        <w:t>Offline Payment of Central Bank Digital Currency Based on a Trusted Platform Module.</w:t>
      </w:r>
      <w:r w:rsidRPr="006A6A49">
        <w:rPr>
          <w:noProof/>
        </w:rPr>
        <w:t xml:space="preserve"> Journal of Cybersecurity and Privacy, 2025. </w:t>
      </w:r>
      <w:r w:rsidRPr="006A6A49">
        <w:rPr>
          <w:b/>
          <w:noProof/>
        </w:rPr>
        <w:t>5</w:t>
      </w:r>
      <w:r w:rsidRPr="006A6A49">
        <w:rPr>
          <w:noProof/>
        </w:rPr>
        <w:t>(2): p. 14.</w:t>
      </w:r>
    </w:p>
    <w:p w14:paraId="1653D220" w14:textId="77777777" w:rsidR="006A6A49" w:rsidRPr="006A6A49" w:rsidRDefault="006A6A49" w:rsidP="006A6A49">
      <w:pPr>
        <w:pStyle w:val="EndNoteBibliography"/>
        <w:ind w:left="720" w:hanging="720"/>
        <w:rPr>
          <w:noProof/>
        </w:rPr>
      </w:pPr>
      <w:r w:rsidRPr="006A6A49">
        <w:rPr>
          <w:noProof/>
        </w:rPr>
        <w:t>3.</w:t>
      </w:r>
      <w:r w:rsidRPr="006A6A49">
        <w:rPr>
          <w:noProof/>
        </w:rPr>
        <w:tab/>
        <w:t xml:space="preserve">Song, H., Z. Qu, and Y. Wei. </w:t>
      </w:r>
      <w:r w:rsidRPr="006A6A49">
        <w:rPr>
          <w:i/>
          <w:noProof/>
        </w:rPr>
        <w:t>Advancing blockchain scalability: An introduction to layer 1 and layer 2 solutions</w:t>
      </w:r>
      <w:r w:rsidRPr="006A6A49">
        <w:rPr>
          <w:noProof/>
        </w:rPr>
        <w:t xml:space="preserve">. in </w:t>
      </w:r>
      <w:r w:rsidRPr="006A6A49">
        <w:rPr>
          <w:i/>
          <w:noProof/>
        </w:rPr>
        <w:t>2024 IEEE 2nd International Conference on Sensors, Electronics and Computer Engineering (ICSECE)</w:t>
      </w:r>
      <w:r w:rsidRPr="006A6A49">
        <w:rPr>
          <w:noProof/>
        </w:rPr>
        <w:t>. 2024. IEEE.</w:t>
      </w:r>
    </w:p>
    <w:p w14:paraId="224D8E8A" w14:textId="77777777" w:rsidR="006A6A49" w:rsidRPr="006A6A49" w:rsidRDefault="006A6A49" w:rsidP="006A6A49">
      <w:pPr>
        <w:pStyle w:val="EndNoteBibliography"/>
        <w:ind w:left="720" w:hanging="720"/>
        <w:rPr>
          <w:noProof/>
        </w:rPr>
      </w:pPr>
      <w:r w:rsidRPr="006A6A49">
        <w:rPr>
          <w:noProof/>
        </w:rPr>
        <w:t>4.</w:t>
      </w:r>
      <w:r w:rsidRPr="006A6A49">
        <w:rPr>
          <w:noProof/>
        </w:rPr>
        <w:tab/>
        <w:t xml:space="preserve">Yang, T., et al., </w:t>
      </w:r>
      <w:r w:rsidRPr="006A6A49">
        <w:rPr>
          <w:i/>
          <w:noProof/>
        </w:rPr>
        <w:t>Navigating transitions: How electric vehicle sharing is shaping sustainable mobility in Chinese cities.</w:t>
      </w:r>
      <w:r w:rsidRPr="006A6A49">
        <w:rPr>
          <w:noProof/>
        </w:rPr>
        <w:t xml:space="preserve"> Sustainability, 2024. </w:t>
      </w:r>
      <w:r w:rsidRPr="006A6A49">
        <w:rPr>
          <w:b/>
          <w:noProof/>
        </w:rPr>
        <w:t>16</w:t>
      </w:r>
      <w:r w:rsidRPr="006A6A49">
        <w:rPr>
          <w:noProof/>
        </w:rPr>
        <w:t>(19): p. 8364.</w:t>
      </w:r>
    </w:p>
    <w:p w14:paraId="51CA48AB" w14:textId="77777777" w:rsidR="006A6A49" w:rsidRPr="006A6A49" w:rsidRDefault="006A6A49" w:rsidP="006A6A49">
      <w:pPr>
        <w:pStyle w:val="EndNoteBibliography"/>
        <w:ind w:left="720" w:hanging="720"/>
        <w:rPr>
          <w:noProof/>
        </w:rPr>
      </w:pPr>
      <w:r w:rsidRPr="006A6A49">
        <w:rPr>
          <w:noProof/>
        </w:rPr>
        <w:t>5.</w:t>
      </w:r>
      <w:r w:rsidRPr="006A6A49">
        <w:rPr>
          <w:noProof/>
        </w:rPr>
        <w:tab/>
        <w:t xml:space="preserve">Bhat, J.R., S.A. AlQahtani, and M. Nekovee, </w:t>
      </w:r>
      <w:r w:rsidRPr="006A6A49">
        <w:rPr>
          <w:i/>
          <w:noProof/>
        </w:rPr>
        <w:t>FinTech enablers, use cases, and role of future internet of things.</w:t>
      </w:r>
      <w:r w:rsidRPr="006A6A49">
        <w:rPr>
          <w:noProof/>
        </w:rPr>
        <w:t xml:space="preserve"> Journal of King Saud University-Computer and Information Sciences, 2023. </w:t>
      </w:r>
      <w:r w:rsidRPr="006A6A49">
        <w:rPr>
          <w:b/>
          <w:noProof/>
        </w:rPr>
        <w:t>35</w:t>
      </w:r>
      <w:r w:rsidRPr="006A6A49">
        <w:rPr>
          <w:noProof/>
        </w:rPr>
        <w:t>(1): p. 87-101.</w:t>
      </w:r>
    </w:p>
    <w:p w14:paraId="3EED9F77" w14:textId="77777777" w:rsidR="006A6A49" w:rsidRPr="006A6A49" w:rsidRDefault="006A6A49" w:rsidP="006A6A49">
      <w:pPr>
        <w:pStyle w:val="EndNoteBibliography"/>
        <w:ind w:left="720" w:hanging="720"/>
        <w:rPr>
          <w:noProof/>
        </w:rPr>
      </w:pPr>
      <w:r w:rsidRPr="006A6A49">
        <w:rPr>
          <w:noProof/>
        </w:rPr>
        <w:t>6.</w:t>
      </w:r>
      <w:r w:rsidRPr="006A6A49">
        <w:rPr>
          <w:noProof/>
        </w:rPr>
        <w:tab/>
        <w:t xml:space="preserve">Earle, P.C., M. Gulker, and E.P. Stringham, </w:t>
      </w:r>
      <w:r w:rsidRPr="006A6A49">
        <w:rPr>
          <w:i/>
          <w:noProof/>
        </w:rPr>
        <w:t>Decentralized Marketplaces with Privately Enforced Contracts: A Case Study of OpenBazaar.</w:t>
      </w:r>
      <w:r w:rsidRPr="006A6A49">
        <w:rPr>
          <w:noProof/>
        </w:rPr>
        <w:t xml:space="preserve"> Journal of Private Enterprise, 2022. </w:t>
      </w:r>
      <w:r w:rsidRPr="006A6A49">
        <w:rPr>
          <w:b/>
          <w:noProof/>
        </w:rPr>
        <w:t>37</w:t>
      </w:r>
      <w:r w:rsidRPr="006A6A49">
        <w:rPr>
          <w:noProof/>
        </w:rPr>
        <w:t>(4).</w:t>
      </w:r>
    </w:p>
    <w:p w14:paraId="7A9FB428" w14:textId="77777777" w:rsidR="006A6A49" w:rsidRPr="006A6A49" w:rsidRDefault="006A6A49" w:rsidP="006A6A49">
      <w:pPr>
        <w:pStyle w:val="EndNoteBibliography"/>
        <w:ind w:left="720" w:hanging="720"/>
        <w:rPr>
          <w:noProof/>
        </w:rPr>
      </w:pPr>
      <w:r w:rsidRPr="006A6A49">
        <w:rPr>
          <w:noProof/>
        </w:rPr>
        <w:t>7.</w:t>
      </w:r>
      <w:r w:rsidRPr="006A6A49">
        <w:rPr>
          <w:noProof/>
        </w:rPr>
        <w:tab/>
        <w:t xml:space="preserve">Jiang, X.-J. and X.F. Liu, </w:t>
      </w:r>
      <w:r w:rsidRPr="006A6A49">
        <w:rPr>
          <w:i/>
          <w:noProof/>
        </w:rPr>
        <w:t>Cryptokitties transaction network analysis: The rise and fall of the first blockchain game mania.</w:t>
      </w:r>
      <w:r w:rsidRPr="006A6A49">
        <w:rPr>
          <w:noProof/>
        </w:rPr>
        <w:t xml:space="preserve"> Frontiers in Physics, 2021. </w:t>
      </w:r>
      <w:r w:rsidRPr="006A6A49">
        <w:rPr>
          <w:b/>
          <w:noProof/>
        </w:rPr>
        <w:t>9</w:t>
      </w:r>
      <w:r w:rsidRPr="006A6A49">
        <w:rPr>
          <w:noProof/>
        </w:rPr>
        <w:t>: p. 631665.</w:t>
      </w:r>
    </w:p>
    <w:p w14:paraId="5BEDDA4A" w14:textId="77777777" w:rsidR="006A6A49" w:rsidRPr="006A6A49" w:rsidRDefault="006A6A49" w:rsidP="006A6A49">
      <w:pPr>
        <w:pStyle w:val="EndNoteBibliography"/>
        <w:ind w:left="720" w:hanging="720"/>
        <w:rPr>
          <w:noProof/>
        </w:rPr>
      </w:pPr>
      <w:r w:rsidRPr="006A6A49">
        <w:rPr>
          <w:noProof/>
        </w:rPr>
        <w:t>8.</w:t>
      </w:r>
      <w:r w:rsidRPr="006A6A49">
        <w:rPr>
          <w:noProof/>
        </w:rPr>
        <w:tab/>
        <w:t xml:space="preserve">Liya, B., S. Pritam, and K. Navin. </w:t>
      </w:r>
      <w:r w:rsidRPr="006A6A49">
        <w:rPr>
          <w:i/>
          <w:noProof/>
        </w:rPr>
        <w:t>Decentralized E-Commerce Platform Implemented using Smart Contracts</w:t>
      </w:r>
      <w:r w:rsidRPr="006A6A49">
        <w:rPr>
          <w:noProof/>
        </w:rPr>
        <w:t xml:space="preserve">. in </w:t>
      </w:r>
      <w:r w:rsidRPr="006A6A49">
        <w:rPr>
          <w:i/>
          <w:noProof/>
        </w:rPr>
        <w:t>2023 3rd International Conference on Smart Data Intelligence (ICSMDI)</w:t>
      </w:r>
      <w:r w:rsidRPr="006A6A49">
        <w:rPr>
          <w:noProof/>
        </w:rPr>
        <w:t>. 2023. IEEE.</w:t>
      </w:r>
    </w:p>
    <w:p w14:paraId="58E3DBCA" w14:textId="77777777" w:rsidR="006A6A49" w:rsidRPr="006A6A49" w:rsidRDefault="006A6A49" w:rsidP="006A6A49">
      <w:pPr>
        <w:pStyle w:val="EndNoteBibliography"/>
        <w:ind w:left="720" w:hanging="720"/>
        <w:rPr>
          <w:noProof/>
        </w:rPr>
      </w:pPr>
      <w:r w:rsidRPr="006A6A49">
        <w:rPr>
          <w:noProof/>
        </w:rPr>
        <w:t>9.</w:t>
      </w:r>
      <w:r w:rsidRPr="006A6A49">
        <w:rPr>
          <w:noProof/>
        </w:rPr>
        <w:tab/>
        <w:t xml:space="preserve">Saif, M.B., S. Migliorini, and F. Spoto, </w:t>
      </w:r>
      <w:r w:rsidRPr="006A6A49">
        <w:rPr>
          <w:i/>
          <w:noProof/>
        </w:rPr>
        <w:t>A Survey on Data Availability in Layer 2 Blockchain Rollups: Open Challenges and Future Improvements.</w:t>
      </w:r>
      <w:r w:rsidRPr="006A6A49">
        <w:rPr>
          <w:noProof/>
        </w:rPr>
        <w:t xml:space="preserve"> Future Internet, 2024. </w:t>
      </w:r>
      <w:r w:rsidRPr="006A6A49">
        <w:rPr>
          <w:b/>
          <w:noProof/>
        </w:rPr>
        <w:t>16</w:t>
      </w:r>
      <w:r w:rsidRPr="006A6A49">
        <w:rPr>
          <w:noProof/>
        </w:rPr>
        <w:t>(9): p. 315.</w:t>
      </w:r>
    </w:p>
    <w:p w14:paraId="484E999F" w14:textId="77777777" w:rsidR="006A6A49" w:rsidRPr="006A6A49" w:rsidRDefault="006A6A49" w:rsidP="006A6A49">
      <w:pPr>
        <w:pStyle w:val="EndNoteBibliography"/>
        <w:ind w:left="720" w:hanging="720"/>
        <w:rPr>
          <w:noProof/>
        </w:rPr>
      </w:pPr>
      <w:r w:rsidRPr="006A6A49">
        <w:rPr>
          <w:noProof/>
        </w:rPr>
        <w:t>10.</w:t>
      </w:r>
      <w:r w:rsidRPr="006A6A49">
        <w:rPr>
          <w:noProof/>
        </w:rPr>
        <w:tab/>
        <w:t xml:space="preserve">Neiheiser, R., et al., </w:t>
      </w:r>
      <w:r w:rsidRPr="006A6A49">
        <w:rPr>
          <w:i/>
          <w:noProof/>
        </w:rPr>
        <w:t>Practical limitations of ethereum’s layer-2.</w:t>
      </w:r>
      <w:r w:rsidRPr="006A6A49">
        <w:rPr>
          <w:noProof/>
        </w:rPr>
        <w:t xml:space="preserve"> IEEE Access, 2023. </w:t>
      </w:r>
      <w:r w:rsidRPr="006A6A49">
        <w:rPr>
          <w:b/>
          <w:noProof/>
        </w:rPr>
        <w:t>11</w:t>
      </w:r>
      <w:r w:rsidRPr="006A6A49">
        <w:rPr>
          <w:noProof/>
        </w:rPr>
        <w:t>: p. 8651-8662.</w:t>
      </w:r>
    </w:p>
    <w:p w14:paraId="21C57904" w14:textId="77777777" w:rsidR="006A6A49" w:rsidRPr="006A6A49" w:rsidRDefault="006A6A49" w:rsidP="006A6A49">
      <w:pPr>
        <w:pStyle w:val="EndNoteBibliography"/>
        <w:ind w:left="720" w:hanging="720"/>
        <w:rPr>
          <w:noProof/>
        </w:rPr>
      </w:pPr>
      <w:r w:rsidRPr="006A6A49">
        <w:rPr>
          <w:noProof/>
        </w:rPr>
        <w:t>11.</w:t>
      </w:r>
      <w:r w:rsidRPr="006A6A49">
        <w:rPr>
          <w:noProof/>
        </w:rPr>
        <w:tab/>
        <w:t xml:space="preserve">Sikder, A.S., </w:t>
      </w:r>
      <w:r w:rsidRPr="006A6A49">
        <w:rPr>
          <w:i/>
          <w:noProof/>
        </w:rPr>
        <w:t xml:space="preserve">Revolutionizing Web User Experience: A Pioneering Investigation into Web Performance Optimization's Impact on User Experience and Business Success: Web Performance Optimization's Impact </w:t>
      </w:r>
      <w:r w:rsidRPr="006A6A49">
        <w:rPr>
          <w:i/>
          <w:noProof/>
        </w:rPr>
        <w:lastRenderedPageBreak/>
        <w:t>on User Experience and Business Success.</w:t>
      </w:r>
      <w:r w:rsidRPr="006A6A49">
        <w:rPr>
          <w:noProof/>
        </w:rPr>
        <w:t xml:space="preserve"> International Journal of Imminent Science &amp; Technology., 2023. </w:t>
      </w:r>
      <w:r w:rsidRPr="006A6A49">
        <w:rPr>
          <w:b/>
          <w:noProof/>
        </w:rPr>
        <w:t>1</w:t>
      </w:r>
      <w:r w:rsidRPr="006A6A49">
        <w:rPr>
          <w:noProof/>
        </w:rPr>
        <w:t>(1): p. 186-198.</w:t>
      </w:r>
    </w:p>
    <w:p w14:paraId="00433B64" w14:textId="77777777" w:rsidR="006A6A49" w:rsidRPr="006A6A49" w:rsidRDefault="006A6A49" w:rsidP="006A6A49">
      <w:pPr>
        <w:pStyle w:val="EndNoteBibliography"/>
        <w:ind w:left="720" w:hanging="720"/>
        <w:rPr>
          <w:noProof/>
        </w:rPr>
      </w:pPr>
      <w:r w:rsidRPr="006A6A49">
        <w:rPr>
          <w:noProof/>
        </w:rPr>
        <w:t>12.</w:t>
      </w:r>
      <w:r w:rsidRPr="006A6A49">
        <w:rPr>
          <w:noProof/>
        </w:rPr>
        <w:tab/>
        <w:t xml:space="preserve">Gorzny, J. and M. Derka, </w:t>
      </w:r>
      <w:r w:rsidRPr="006A6A49">
        <w:rPr>
          <w:i/>
          <w:noProof/>
        </w:rPr>
        <w:t>A rollup comparison framework.</w:t>
      </w:r>
      <w:r w:rsidRPr="006A6A49">
        <w:rPr>
          <w:noProof/>
        </w:rPr>
        <w:t xml:space="preserve"> arXiv preprint arXiv:2404.16150, 2024.</w:t>
      </w:r>
    </w:p>
    <w:p w14:paraId="6E2A83E2" w14:textId="77777777" w:rsidR="006A6A49" w:rsidRPr="006A6A49" w:rsidRDefault="006A6A49" w:rsidP="006A6A49">
      <w:pPr>
        <w:pStyle w:val="EndNoteBibliography"/>
        <w:ind w:left="720" w:hanging="720"/>
        <w:rPr>
          <w:noProof/>
        </w:rPr>
      </w:pPr>
      <w:r w:rsidRPr="006A6A49">
        <w:rPr>
          <w:noProof/>
        </w:rPr>
        <w:t>13.</w:t>
      </w:r>
      <w:r w:rsidRPr="006A6A49">
        <w:rPr>
          <w:noProof/>
        </w:rPr>
        <w:tab/>
        <w:t xml:space="preserve">Tas, E.N., et al., </w:t>
      </w:r>
      <w:r w:rsidRPr="006A6A49">
        <w:rPr>
          <w:i/>
          <w:noProof/>
        </w:rPr>
        <w:t>Accountable safety for rollups.</w:t>
      </w:r>
      <w:r w:rsidRPr="006A6A49">
        <w:rPr>
          <w:noProof/>
        </w:rPr>
        <w:t xml:space="preserve"> arXiv preprint arXiv:2210.15017, 2022.</w:t>
      </w:r>
    </w:p>
    <w:p w14:paraId="3D47C6F7" w14:textId="77777777" w:rsidR="006A6A49" w:rsidRPr="006A6A49" w:rsidRDefault="006A6A49" w:rsidP="006A6A49">
      <w:pPr>
        <w:pStyle w:val="EndNoteBibliography"/>
        <w:ind w:left="720" w:hanging="720"/>
        <w:rPr>
          <w:noProof/>
        </w:rPr>
      </w:pPr>
      <w:r w:rsidRPr="006A6A49">
        <w:rPr>
          <w:noProof/>
        </w:rPr>
        <w:t>14.</w:t>
      </w:r>
      <w:r w:rsidRPr="006A6A49">
        <w:rPr>
          <w:noProof/>
        </w:rPr>
        <w:tab/>
        <w:t xml:space="preserve">Chaliasos, S., et al. </w:t>
      </w:r>
      <w:r w:rsidRPr="006A6A49">
        <w:rPr>
          <w:i/>
          <w:noProof/>
        </w:rPr>
        <w:t>Analyzing and benchmarking ZK-rollups</w:t>
      </w:r>
      <w:r w:rsidRPr="006A6A49">
        <w:rPr>
          <w:noProof/>
        </w:rPr>
        <w:t xml:space="preserve">. in </w:t>
      </w:r>
      <w:r w:rsidRPr="006A6A49">
        <w:rPr>
          <w:i/>
          <w:noProof/>
        </w:rPr>
        <w:t>6th Conference on Advances in Financial Technologies (AFT 2024)</w:t>
      </w:r>
      <w:r w:rsidRPr="006A6A49">
        <w:rPr>
          <w:noProof/>
        </w:rPr>
        <w:t>. 2024. Schloss Dagstuhl–Leibniz-Zentrum für Informatik.</w:t>
      </w:r>
    </w:p>
    <w:p w14:paraId="79F6E0D6" w14:textId="77777777" w:rsidR="006A6A49" w:rsidRPr="006A6A49" w:rsidRDefault="006A6A49" w:rsidP="006A6A49">
      <w:pPr>
        <w:pStyle w:val="EndNoteBibliography"/>
        <w:ind w:left="720" w:hanging="720"/>
        <w:rPr>
          <w:noProof/>
        </w:rPr>
      </w:pPr>
      <w:r w:rsidRPr="006A6A49">
        <w:rPr>
          <w:noProof/>
        </w:rPr>
        <w:t>15.</w:t>
      </w:r>
      <w:r w:rsidRPr="006A6A49">
        <w:rPr>
          <w:noProof/>
        </w:rPr>
        <w:tab/>
        <w:t xml:space="preserve">Nguyen Nhan, T., </w:t>
      </w:r>
      <w:r w:rsidRPr="006A6A49">
        <w:rPr>
          <w:i/>
          <w:noProof/>
        </w:rPr>
        <w:t>Ethereum Scaling Solutions: Exploring Zero-Knowledge Ethereum Virtual Machines and Their Applications</w:t>
      </w:r>
      <w:r w:rsidRPr="006A6A49">
        <w:rPr>
          <w:noProof/>
        </w:rPr>
        <w:t>. 2024, Hochschule Mittweida.</w:t>
      </w:r>
    </w:p>
    <w:p w14:paraId="50D36818" w14:textId="77777777" w:rsidR="006A6A49" w:rsidRPr="006A6A49" w:rsidRDefault="006A6A49" w:rsidP="006A6A49">
      <w:pPr>
        <w:pStyle w:val="EndNoteBibliography"/>
        <w:ind w:left="720" w:hanging="720"/>
        <w:rPr>
          <w:noProof/>
        </w:rPr>
      </w:pPr>
      <w:r w:rsidRPr="006A6A49">
        <w:rPr>
          <w:noProof/>
        </w:rPr>
        <w:t>16.</w:t>
      </w:r>
      <w:r w:rsidRPr="006A6A49">
        <w:rPr>
          <w:noProof/>
        </w:rPr>
        <w:tab/>
        <w:t xml:space="preserve">Stoica, G.-M., </w:t>
      </w:r>
      <w:r w:rsidRPr="006A6A49">
        <w:rPr>
          <w:i/>
          <w:noProof/>
        </w:rPr>
        <w:t>Account Abstraction on Ethereum.</w:t>
      </w:r>
      <w:r w:rsidRPr="006A6A49">
        <w:rPr>
          <w:noProof/>
        </w:rPr>
        <w:t xml:space="preserve"> Romanian Cyber Security Journal, 2023. </w:t>
      </w:r>
      <w:r w:rsidRPr="006A6A49">
        <w:rPr>
          <w:b/>
          <w:noProof/>
        </w:rPr>
        <w:t>5</w:t>
      </w:r>
      <w:r w:rsidRPr="006A6A49">
        <w:rPr>
          <w:noProof/>
        </w:rPr>
        <w:t>(2): p. 37-44.</w:t>
      </w:r>
    </w:p>
    <w:p w14:paraId="3C8EADF9" w14:textId="77777777" w:rsidR="006A6A49" w:rsidRPr="006A6A49" w:rsidRDefault="006A6A49" w:rsidP="006A6A49">
      <w:pPr>
        <w:pStyle w:val="EndNoteBibliography"/>
        <w:ind w:left="720" w:hanging="720"/>
        <w:rPr>
          <w:noProof/>
        </w:rPr>
      </w:pPr>
      <w:r w:rsidRPr="006A6A49">
        <w:rPr>
          <w:noProof/>
        </w:rPr>
        <w:t>17.</w:t>
      </w:r>
      <w:r w:rsidRPr="006A6A49">
        <w:rPr>
          <w:noProof/>
        </w:rPr>
        <w:tab/>
        <w:t xml:space="preserve">Wronka, C., </w:t>
      </w:r>
      <w:r w:rsidRPr="006A6A49">
        <w:rPr>
          <w:i/>
          <w:noProof/>
        </w:rPr>
        <w:t>Crypto-asset regulatory landscape: a comparative analysis of the crypto-asset regulation in the UK and Germany.</w:t>
      </w:r>
      <w:r w:rsidRPr="006A6A49">
        <w:rPr>
          <w:noProof/>
        </w:rPr>
        <w:t xml:space="preserve"> Journal of Asset Management, 2024. </w:t>
      </w:r>
      <w:r w:rsidRPr="006A6A49">
        <w:rPr>
          <w:b/>
          <w:noProof/>
        </w:rPr>
        <w:t>25</w:t>
      </w:r>
      <w:r w:rsidRPr="006A6A49">
        <w:rPr>
          <w:noProof/>
        </w:rPr>
        <w:t>(4): p. 417-426.</w:t>
      </w:r>
    </w:p>
    <w:p w14:paraId="45A961DB" w14:textId="77777777" w:rsidR="006A6A49" w:rsidRPr="006A6A49" w:rsidRDefault="006A6A49" w:rsidP="006A6A49">
      <w:pPr>
        <w:pStyle w:val="EndNoteBibliography"/>
        <w:ind w:left="720" w:hanging="720"/>
        <w:rPr>
          <w:noProof/>
        </w:rPr>
      </w:pPr>
      <w:r w:rsidRPr="006A6A49">
        <w:rPr>
          <w:noProof/>
        </w:rPr>
        <w:t>18.</w:t>
      </w:r>
      <w:r w:rsidRPr="006A6A49">
        <w:rPr>
          <w:noProof/>
        </w:rPr>
        <w:tab/>
        <w:t xml:space="preserve">Sufian, M.H., N.A.S. Syahril, and N. Ghapa, </w:t>
      </w:r>
      <w:r w:rsidRPr="006A6A49">
        <w:rPr>
          <w:i/>
          <w:noProof/>
        </w:rPr>
        <w:t>Regulatory Framework for Cryptocurrency: A Comparative Analysis of Malaysia, Indonesia and Singapore.</w:t>
      </w:r>
      <w:r w:rsidRPr="006A6A49">
        <w:rPr>
          <w:noProof/>
        </w:rPr>
        <w:t xml:space="preserve"> Malaysian Journal of Social Sciences and Humanities (MJSSH), 2024. </w:t>
      </w:r>
      <w:r w:rsidRPr="006A6A49">
        <w:rPr>
          <w:b/>
          <w:noProof/>
        </w:rPr>
        <w:t>9</w:t>
      </w:r>
      <w:r w:rsidRPr="006A6A49">
        <w:rPr>
          <w:noProof/>
        </w:rPr>
        <w:t>(11): p. e003113-e003113.</w:t>
      </w:r>
    </w:p>
    <w:p w14:paraId="4DE91CCB" w14:textId="701DED4B" w:rsidR="00326AE0" w:rsidRPr="00114AB1" w:rsidRDefault="00E44A60" w:rsidP="00950BAD">
      <w:pPr>
        <w:pStyle w:val="Reference"/>
        <w:numPr>
          <w:ilvl w:val="0"/>
          <w:numId w:val="0"/>
        </w:numPr>
      </w:pPr>
      <w:r>
        <w:fldChar w:fldCharType="end"/>
      </w:r>
    </w:p>
    <w:sectPr w:rsidR="00326AE0" w:rsidRPr="00114AB1" w:rsidSect="00D30640">
      <w:pgSz w:w="12240" w:h="15840"/>
      <w:pgMar w:top="1440" w:right="1440" w:bottom="1440" w:left="1440" w:header="720" w:footer="720" w:gutter="0"/>
      <w:cols w:space="720"/>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BA15993"/>
    <w:multiLevelType w:val="hybridMultilevel"/>
    <w:tmpl w:val="6C964CB4"/>
    <w:lvl w:ilvl="0" w:tplc="08090001">
      <w:start w:val="1"/>
      <w:numFmt w:val="bullet"/>
      <w:lvlText w:val=""/>
      <w:lvlJc w:val="left"/>
      <w:pPr>
        <w:ind w:left="1008" w:hanging="360"/>
      </w:pPr>
      <w:rPr>
        <w:rFonts w:ascii="Symbol" w:hAnsi="Symbol" w:hint="default"/>
      </w:rPr>
    </w:lvl>
    <w:lvl w:ilvl="1" w:tplc="04090003" w:tentative="1">
      <w:start w:val="1"/>
      <w:numFmt w:val="bullet"/>
      <w:lvlText w:val="o"/>
      <w:lvlJc w:val="left"/>
      <w:pPr>
        <w:ind w:left="1728" w:hanging="360"/>
      </w:pPr>
      <w:rPr>
        <w:rFonts w:ascii="Courier New" w:hAnsi="Courier New" w:cs="Courier New" w:hint="default"/>
      </w:rPr>
    </w:lvl>
    <w:lvl w:ilvl="2" w:tplc="04090005" w:tentative="1">
      <w:start w:val="1"/>
      <w:numFmt w:val="bullet"/>
      <w:lvlText w:val=""/>
      <w:lvlJc w:val="left"/>
      <w:pPr>
        <w:ind w:left="2448" w:hanging="360"/>
      </w:pPr>
      <w:rPr>
        <w:rFonts w:ascii="Wingdings" w:hAnsi="Wingdings" w:hint="default"/>
      </w:rPr>
    </w:lvl>
    <w:lvl w:ilvl="3" w:tplc="04090001" w:tentative="1">
      <w:start w:val="1"/>
      <w:numFmt w:val="bullet"/>
      <w:lvlText w:val=""/>
      <w:lvlJc w:val="left"/>
      <w:pPr>
        <w:ind w:left="3168" w:hanging="360"/>
      </w:pPr>
      <w:rPr>
        <w:rFonts w:ascii="Symbol" w:hAnsi="Symbol" w:hint="default"/>
      </w:rPr>
    </w:lvl>
    <w:lvl w:ilvl="4" w:tplc="04090003" w:tentative="1">
      <w:start w:val="1"/>
      <w:numFmt w:val="bullet"/>
      <w:lvlText w:val="o"/>
      <w:lvlJc w:val="left"/>
      <w:pPr>
        <w:ind w:left="3888" w:hanging="360"/>
      </w:pPr>
      <w:rPr>
        <w:rFonts w:ascii="Courier New" w:hAnsi="Courier New" w:cs="Courier New" w:hint="default"/>
      </w:rPr>
    </w:lvl>
    <w:lvl w:ilvl="5" w:tplc="04090005" w:tentative="1">
      <w:start w:val="1"/>
      <w:numFmt w:val="bullet"/>
      <w:lvlText w:val=""/>
      <w:lvlJc w:val="left"/>
      <w:pPr>
        <w:ind w:left="4608" w:hanging="360"/>
      </w:pPr>
      <w:rPr>
        <w:rFonts w:ascii="Wingdings" w:hAnsi="Wingdings" w:hint="default"/>
      </w:rPr>
    </w:lvl>
    <w:lvl w:ilvl="6" w:tplc="04090001" w:tentative="1">
      <w:start w:val="1"/>
      <w:numFmt w:val="bullet"/>
      <w:lvlText w:val=""/>
      <w:lvlJc w:val="left"/>
      <w:pPr>
        <w:ind w:left="5328" w:hanging="360"/>
      </w:pPr>
      <w:rPr>
        <w:rFonts w:ascii="Symbol" w:hAnsi="Symbol" w:hint="default"/>
      </w:rPr>
    </w:lvl>
    <w:lvl w:ilvl="7" w:tplc="04090003" w:tentative="1">
      <w:start w:val="1"/>
      <w:numFmt w:val="bullet"/>
      <w:lvlText w:val="o"/>
      <w:lvlJc w:val="left"/>
      <w:pPr>
        <w:ind w:left="6048" w:hanging="360"/>
      </w:pPr>
      <w:rPr>
        <w:rFonts w:ascii="Courier New" w:hAnsi="Courier New" w:cs="Courier New" w:hint="default"/>
      </w:rPr>
    </w:lvl>
    <w:lvl w:ilvl="8" w:tplc="04090005" w:tentative="1">
      <w:start w:val="1"/>
      <w:numFmt w:val="bullet"/>
      <w:lvlText w:val=""/>
      <w:lvlJc w:val="left"/>
      <w:pPr>
        <w:ind w:left="6768" w:hanging="360"/>
      </w:pPr>
      <w:rPr>
        <w:rFonts w:ascii="Wingdings" w:hAnsi="Wingdings" w:hint="default"/>
      </w:rPr>
    </w:lvl>
  </w:abstractNum>
  <w:abstractNum w:abstractNumId="1" w15:restartNumberingAfterBreak="0">
    <w:nsid w:val="0C24675C"/>
    <w:multiLevelType w:val="hybridMultilevel"/>
    <w:tmpl w:val="AAD2D22E"/>
    <w:lvl w:ilvl="0" w:tplc="B57866EC">
      <w:start w:val="1"/>
      <w:numFmt w:val="bullet"/>
      <w:lvlText w:val=""/>
      <w:lvlJc w:val="left"/>
      <w:pPr>
        <w:ind w:left="720" w:hanging="360"/>
      </w:pPr>
      <w:rPr>
        <w:rFonts w:ascii="Symbol" w:hAnsi="Symbol" w:hint="default"/>
      </w:rPr>
    </w:lvl>
    <w:lvl w:ilvl="1" w:tplc="C42C4B96">
      <w:start w:val="1"/>
      <w:numFmt w:val="bullet"/>
      <w:lvlText w:val="o"/>
      <w:lvlJc w:val="left"/>
      <w:pPr>
        <w:ind w:left="1440" w:hanging="360"/>
      </w:pPr>
      <w:rPr>
        <w:rFonts w:ascii="Courier New" w:hAnsi="Courier New" w:hint="default"/>
      </w:rPr>
    </w:lvl>
    <w:lvl w:ilvl="2" w:tplc="1C78A5C2">
      <w:start w:val="1"/>
      <w:numFmt w:val="bullet"/>
      <w:lvlText w:val=""/>
      <w:lvlJc w:val="left"/>
      <w:pPr>
        <w:ind w:left="2160" w:hanging="360"/>
      </w:pPr>
      <w:rPr>
        <w:rFonts w:ascii="Wingdings" w:hAnsi="Wingdings" w:hint="default"/>
      </w:rPr>
    </w:lvl>
    <w:lvl w:ilvl="3" w:tplc="86443F86">
      <w:start w:val="1"/>
      <w:numFmt w:val="bullet"/>
      <w:lvlText w:val=""/>
      <w:lvlJc w:val="left"/>
      <w:pPr>
        <w:ind w:left="2880" w:hanging="360"/>
      </w:pPr>
      <w:rPr>
        <w:rFonts w:ascii="Symbol" w:hAnsi="Symbol" w:hint="default"/>
      </w:rPr>
    </w:lvl>
    <w:lvl w:ilvl="4" w:tplc="86863BD6">
      <w:start w:val="1"/>
      <w:numFmt w:val="bullet"/>
      <w:lvlText w:val="o"/>
      <w:lvlJc w:val="left"/>
      <w:pPr>
        <w:ind w:left="3600" w:hanging="360"/>
      </w:pPr>
      <w:rPr>
        <w:rFonts w:ascii="Courier New" w:hAnsi="Courier New" w:hint="default"/>
      </w:rPr>
    </w:lvl>
    <w:lvl w:ilvl="5" w:tplc="0EF635F4">
      <w:start w:val="1"/>
      <w:numFmt w:val="bullet"/>
      <w:lvlText w:val=""/>
      <w:lvlJc w:val="left"/>
      <w:pPr>
        <w:ind w:left="4320" w:hanging="360"/>
      </w:pPr>
      <w:rPr>
        <w:rFonts w:ascii="Wingdings" w:hAnsi="Wingdings" w:hint="default"/>
      </w:rPr>
    </w:lvl>
    <w:lvl w:ilvl="6" w:tplc="643E1904">
      <w:start w:val="1"/>
      <w:numFmt w:val="bullet"/>
      <w:lvlText w:val=""/>
      <w:lvlJc w:val="left"/>
      <w:pPr>
        <w:ind w:left="5040" w:hanging="360"/>
      </w:pPr>
      <w:rPr>
        <w:rFonts w:ascii="Symbol" w:hAnsi="Symbol" w:hint="default"/>
      </w:rPr>
    </w:lvl>
    <w:lvl w:ilvl="7" w:tplc="0460491E">
      <w:start w:val="1"/>
      <w:numFmt w:val="bullet"/>
      <w:lvlText w:val="o"/>
      <w:lvlJc w:val="left"/>
      <w:pPr>
        <w:ind w:left="5760" w:hanging="360"/>
      </w:pPr>
      <w:rPr>
        <w:rFonts w:ascii="Courier New" w:hAnsi="Courier New" w:hint="default"/>
      </w:rPr>
    </w:lvl>
    <w:lvl w:ilvl="8" w:tplc="92AE98D0">
      <w:start w:val="1"/>
      <w:numFmt w:val="bullet"/>
      <w:lvlText w:val=""/>
      <w:lvlJc w:val="left"/>
      <w:pPr>
        <w:ind w:left="6480" w:hanging="360"/>
      </w:pPr>
      <w:rPr>
        <w:rFonts w:ascii="Wingdings" w:hAnsi="Wingdings" w:hint="default"/>
      </w:rPr>
    </w:lvl>
  </w:abstractNum>
  <w:abstractNum w:abstractNumId="2" w15:restartNumberingAfterBreak="0">
    <w:nsid w:val="144A20E0"/>
    <w:multiLevelType w:val="hybridMultilevel"/>
    <w:tmpl w:val="1436DBB4"/>
    <w:lvl w:ilvl="0" w:tplc="318A058E">
      <w:start w:val="1"/>
      <w:numFmt w:val="bullet"/>
      <w:lvlText w:val=""/>
      <w:lvlJc w:val="left"/>
      <w:pPr>
        <w:ind w:left="648" w:hanging="360"/>
      </w:pPr>
      <w:rPr>
        <w:rFonts w:ascii="Symbol" w:hAnsi="Symbol" w:hint="default"/>
      </w:rPr>
    </w:lvl>
    <w:lvl w:ilvl="1" w:tplc="7B7CC214">
      <w:start w:val="1"/>
      <w:numFmt w:val="bullet"/>
      <w:lvlText w:val="o"/>
      <w:lvlJc w:val="left"/>
      <w:pPr>
        <w:ind w:left="1368" w:hanging="360"/>
      </w:pPr>
      <w:rPr>
        <w:rFonts w:ascii="Courier New" w:hAnsi="Courier New" w:hint="default"/>
      </w:rPr>
    </w:lvl>
    <w:lvl w:ilvl="2" w:tplc="E9DC64A0">
      <w:start w:val="1"/>
      <w:numFmt w:val="bullet"/>
      <w:lvlText w:val=""/>
      <w:lvlJc w:val="left"/>
      <w:pPr>
        <w:ind w:left="2088" w:hanging="360"/>
      </w:pPr>
      <w:rPr>
        <w:rFonts w:ascii="Wingdings" w:hAnsi="Wingdings" w:hint="default"/>
      </w:rPr>
    </w:lvl>
    <w:lvl w:ilvl="3" w:tplc="C266698C">
      <w:start w:val="1"/>
      <w:numFmt w:val="bullet"/>
      <w:lvlText w:val=""/>
      <w:lvlJc w:val="left"/>
      <w:pPr>
        <w:ind w:left="2808" w:hanging="360"/>
      </w:pPr>
      <w:rPr>
        <w:rFonts w:ascii="Symbol" w:hAnsi="Symbol" w:hint="default"/>
      </w:rPr>
    </w:lvl>
    <w:lvl w:ilvl="4" w:tplc="AB661C86">
      <w:start w:val="1"/>
      <w:numFmt w:val="bullet"/>
      <w:lvlText w:val="o"/>
      <w:lvlJc w:val="left"/>
      <w:pPr>
        <w:ind w:left="3528" w:hanging="360"/>
      </w:pPr>
      <w:rPr>
        <w:rFonts w:ascii="Courier New" w:hAnsi="Courier New" w:hint="default"/>
      </w:rPr>
    </w:lvl>
    <w:lvl w:ilvl="5" w:tplc="9FD8D188">
      <w:start w:val="1"/>
      <w:numFmt w:val="bullet"/>
      <w:lvlText w:val=""/>
      <w:lvlJc w:val="left"/>
      <w:pPr>
        <w:ind w:left="4248" w:hanging="360"/>
      </w:pPr>
      <w:rPr>
        <w:rFonts w:ascii="Wingdings" w:hAnsi="Wingdings" w:hint="default"/>
      </w:rPr>
    </w:lvl>
    <w:lvl w:ilvl="6" w:tplc="D4204D5E">
      <w:start w:val="1"/>
      <w:numFmt w:val="bullet"/>
      <w:lvlText w:val=""/>
      <w:lvlJc w:val="left"/>
      <w:pPr>
        <w:ind w:left="4968" w:hanging="360"/>
      </w:pPr>
      <w:rPr>
        <w:rFonts w:ascii="Symbol" w:hAnsi="Symbol" w:hint="default"/>
      </w:rPr>
    </w:lvl>
    <w:lvl w:ilvl="7" w:tplc="9C2A5FA6">
      <w:start w:val="1"/>
      <w:numFmt w:val="bullet"/>
      <w:lvlText w:val="o"/>
      <w:lvlJc w:val="left"/>
      <w:pPr>
        <w:ind w:left="5688" w:hanging="360"/>
      </w:pPr>
      <w:rPr>
        <w:rFonts w:ascii="Courier New" w:hAnsi="Courier New" w:hint="default"/>
      </w:rPr>
    </w:lvl>
    <w:lvl w:ilvl="8" w:tplc="FBE05980">
      <w:start w:val="1"/>
      <w:numFmt w:val="bullet"/>
      <w:lvlText w:val=""/>
      <w:lvlJc w:val="left"/>
      <w:pPr>
        <w:ind w:left="6408" w:hanging="360"/>
      </w:pPr>
      <w:rPr>
        <w:rFonts w:ascii="Wingdings" w:hAnsi="Wingdings" w:hint="default"/>
      </w:r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685586C"/>
    <w:multiLevelType w:val="hybridMultilevel"/>
    <w:tmpl w:val="2BB08D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6AB0E43"/>
    <w:multiLevelType w:val="hybridMultilevel"/>
    <w:tmpl w:val="B85045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37660336"/>
    <w:multiLevelType w:val="hybridMultilevel"/>
    <w:tmpl w:val="754EAC84"/>
    <w:lvl w:ilvl="0" w:tplc="FFFFFFFF">
      <w:start w:val="1"/>
      <w:numFmt w:val="bullet"/>
      <w:pStyle w:val="bulletlist"/>
      <w:lvlText w:val=""/>
      <w:lvlJc w:val="left"/>
      <w:pPr>
        <w:tabs>
          <w:tab w:val="num" w:pos="648"/>
        </w:tabs>
        <w:ind w:left="648"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811591"/>
    <w:multiLevelType w:val="hybridMultilevel"/>
    <w:tmpl w:val="21B0A234"/>
    <w:lvl w:ilvl="0" w:tplc="08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0" w15:restartNumberingAfterBreak="0">
    <w:nsid w:val="3E8F3690"/>
    <w:multiLevelType w:val="hybridMultilevel"/>
    <w:tmpl w:val="F6EEBDC2"/>
    <w:lvl w:ilvl="0" w:tplc="04090001">
      <w:start w:val="1"/>
      <w:numFmt w:val="bullet"/>
      <w:lvlText w:val=""/>
      <w:lvlJc w:val="left"/>
      <w:pPr>
        <w:ind w:left="1004" w:hanging="360"/>
      </w:pPr>
      <w:rPr>
        <w:rFonts w:ascii="Symbol" w:hAnsi="Symbol"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11" w15:restartNumberingAfterBreak="0">
    <w:nsid w:val="40605E10"/>
    <w:multiLevelType w:val="hybridMultilevel"/>
    <w:tmpl w:val="8CFE7C9A"/>
    <w:lvl w:ilvl="0" w:tplc="08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2" w15:restartNumberingAfterBreak="0">
    <w:nsid w:val="4171595C"/>
    <w:multiLevelType w:val="hybridMultilevel"/>
    <w:tmpl w:val="F40877E0"/>
    <w:lvl w:ilvl="0" w:tplc="0809000F">
      <w:start w:val="1"/>
      <w:numFmt w:val="decimal"/>
      <w:lvlText w:val="%1."/>
      <w:lvlJc w:val="left"/>
      <w:pPr>
        <w:ind w:left="1728" w:hanging="360"/>
      </w:pPr>
    </w:lvl>
    <w:lvl w:ilvl="1" w:tplc="04090019" w:tentative="1">
      <w:start w:val="1"/>
      <w:numFmt w:val="lowerLetter"/>
      <w:lvlText w:val="%2."/>
      <w:lvlJc w:val="left"/>
      <w:pPr>
        <w:ind w:left="2448" w:hanging="360"/>
      </w:pPr>
    </w:lvl>
    <w:lvl w:ilvl="2" w:tplc="0409001B" w:tentative="1">
      <w:start w:val="1"/>
      <w:numFmt w:val="lowerRoman"/>
      <w:lvlText w:val="%3."/>
      <w:lvlJc w:val="right"/>
      <w:pPr>
        <w:ind w:left="3168" w:hanging="180"/>
      </w:pPr>
    </w:lvl>
    <w:lvl w:ilvl="3" w:tplc="0409000F" w:tentative="1">
      <w:start w:val="1"/>
      <w:numFmt w:val="decimal"/>
      <w:lvlText w:val="%4."/>
      <w:lvlJc w:val="left"/>
      <w:pPr>
        <w:ind w:left="3888" w:hanging="360"/>
      </w:pPr>
    </w:lvl>
    <w:lvl w:ilvl="4" w:tplc="04090019" w:tentative="1">
      <w:start w:val="1"/>
      <w:numFmt w:val="lowerLetter"/>
      <w:lvlText w:val="%5."/>
      <w:lvlJc w:val="left"/>
      <w:pPr>
        <w:ind w:left="4608" w:hanging="360"/>
      </w:pPr>
    </w:lvl>
    <w:lvl w:ilvl="5" w:tplc="0409001B" w:tentative="1">
      <w:start w:val="1"/>
      <w:numFmt w:val="lowerRoman"/>
      <w:lvlText w:val="%6."/>
      <w:lvlJc w:val="right"/>
      <w:pPr>
        <w:ind w:left="5328" w:hanging="180"/>
      </w:pPr>
    </w:lvl>
    <w:lvl w:ilvl="6" w:tplc="0409000F" w:tentative="1">
      <w:start w:val="1"/>
      <w:numFmt w:val="decimal"/>
      <w:lvlText w:val="%7."/>
      <w:lvlJc w:val="left"/>
      <w:pPr>
        <w:ind w:left="6048" w:hanging="360"/>
      </w:pPr>
    </w:lvl>
    <w:lvl w:ilvl="7" w:tplc="04090019" w:tentative="1">
      <w:start w:val="1"/>
      <w:numFmt w:val="lowerLetter"/>
      <w:lvlText w:val="%8."/>
      <w:lvlJc w:val="left"/>
      <w:pPr>
        <w:ind w:left="6768" w:hanging="360"/>
      </w:pPr>
    </w:lvl>
    <w:lvl w:ilvl="8" w:tplc="0409001B" w:tentative="1">
      <w:start w:val="1"/>
      <w:numFmt w:val="lowerRoman"/>
      <w:lvlText w:val="%9."/>
      <w:lvlJc w:val="right"/>
      <w:pPr>
        <w:ind w:left="7488" w:hanging="180"/>
      </w:pPr>
    </w:lvl>
  </w:abstractNum>
  <w:abstractNum w:abstractNumId="13" w15:restartNumberingAfterBreak="0">
    <w:nsid w:val="4517573F"/>
    <w:multiLevelType w:val="hybridMultilevel"/>
    <w:tmpl w:val="8500CD48"/>
    <w:lvl w:ilvl="0" w:tplc="04090001">
      <w:start w:val="1"/>
      <w:numFmt w:val="bullet"/>
      <w:lvlText w:val=""/>
      <w:lvlJc w:val="left"/>
      <w:pPr>
        <w:ind w:left="1008" w:hanging="360"/>
      </w:pPr>
      <w:rPr>
        <w:rFonts w:ascii="Symbol" w:hAnsi="Symbol" w:hint="default"/>
      </w:rPr>
    </w:lvl>
    <w:lvl w:ilvl="1" w:tplc="04090003" w:tentative="1">
      <w:start w:val="1"/>
      <w:numFmt w:val="bullet"/>
      <w:lvlText w:val="o"/>
      <w:lvlJc w:val="left"/>
      <w:pPr>
        <w:ind w:left="1728" w:hanging="360"/>
      </w:pPr>
      <w:rPr>
        <w:rFonts w:ascii="Courier New" w:hAnsi="Courier New" w:cs="Courier New" w:hint="default"/>
      </w:rPr>
    </w:lvl>
    <w:lvl w:ilvl="2" w:tplc="04090005" w:tentative="1">
      <w:start w:val="1"/>
      <w:numFmt w:val="bullet"/>
      <w:lvlText w:val=""/>
      <w:lvlJc w:val="left"/>
      <w:pPr>
        <w:ind w:left="2448" w:hanging="360"/>
      </w:pPr>
      <w:rPr>
        <w:rFonts w:ascii="Wingdings" w:hAnsi="Wingdings" w:hint="default"/>
      </w:rPr>
    </w:lvl>
    <w:lvl w:ilvl="3" w:tplc="04090001" w:tentative="1">
      <w:start w:val="1"/>
      <w:numFmt w:val="bullet"/>
      <w:lvlText w:val=""/>
      <w:lvlJc w:val="left"/>
      <w:pPr>
        <w:ind w:left="3168" w:hanging="360"/>
      </w:pPr>
      <w:rPr>
        <w:rFonts w:ascii="Symbol" w:hAnsi="Symbol" w:hint="default"/>
      </w:rPr>
    </w:lvl>
    <w:lvl w:ilvl="4" w:tplc="04090003" w:tentative="1">
      <w:start w:val="1"/>
      <w:numFmt w:val="bullet"/>
      <w:lvlText w:val="o"/>
      <w:lvlJc w:val="left"/>
      <w:pPr>
        <w:ind w:left="3888" w:hanging="360"/>
      </w:pPr>
      <w:rPr>
        <w:rFonts w:ascii="Courier New" w:hAnsi="Courier New" w:cs="Courier New" w:hint="default"/>
      </w:rPr>
    </w:lvl>
    <w:lvl w:ilvl="5" w:tplc="04090005" w:tentative="1">
      <w:start w:val="1"/>
      <w:numFmt w:val="bullet"/>
      <w:lvlText w:val=""/>
      <w:lvlJc w:val="left"/>
      <w:pPr>
        <w:ind w:left="4608" w:hanging="360"/>
      </w:pPr>
      <w:rPr>
        <w:rFonts w:ascii="Wingdings" w:hAnsi="Wingdings" w:hint="default"/>
      </w:rPr>
    </w:lvl>
    <w:lvl w:ilvl="6" w:tplc="04090001" w:tentative="1">
      <w:start w:val="1"/>
      <w:numFmt w:val="bullet"/>
      <w:lvlText w:val=""/>
      <w:lvlJc w:val="left"/>
      <w:pPr>
        <w:ind w:left="5328" w:hanging="360"/>
      </w:pPr>
      <w:rPr>
        <w:rFonts w:ascii="Symbol" w:hAnsi="Symbol" w:hint="default"/>
      </w:rPr>
    </w:lvl>
    <w:lvl w:ilvl="7" w:tplc="04090003" w:tentative="1">
      <w:start w:val="1"/>
      <w:numFmt w:val="bullet"/>
      <w:lvlText w:val="o"/>
      <w:lvlJc w:val="left"/>
      <w:pPr>
        <w:ind w:left="6048" w:hanging="360"/>
      </w:pPr>
      <w:rPr>
        <w:rFonts w:ascii="Courier New" w:hAnsi="Courier New" w:cs="Courier New" w:hint="default"/>
      </w:rPr>
    </w:lvl>
    <w:lvl w:ilvl="8" w:tplc="04090005" w:tentative="1">
      <w:start w:val="1"/>
      <w:numFmt w:val="bullet"/>
      <w:lvlText w:val=""/>
      <w:lvlJc w:val="left"/>
      <w:pPr>
        <w:ind w:left="6768" w:hanging="360"/>
      </w:pPr>
      <w:rPr>
        <w:rFonts w:ascii="Wingdings" w:hAnsi="Wingdings" w:hint="default"/>
      </w:rPr>
    </w:lvl>
  </w:abstractNum>
  <w:abstractNum w:abstractNumId="14" w15:restartNumberingAfterBreak="0">
    <w:nsid w:val="4E850E56"/>
    <w:multiLevelType w:val="hybridMultilevel"/>
    <w:tmpl w:val="3B6063D6"/>
    <w:lvl w:ilvl="0" w:tplc="08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52CA544A"/>
    <w:multiLevelType w:val="singleLevel"/>
    <w:tmpl w:val="AED6D67E"/>
    <w:lvl w:ilvl="0">
      <w:start w:val="1"/>
      <w:numFmt w:val="decimal"/>
      <w:pStyle w:val="references"/>
      <w:lvlText w:val="[%1]"/>
      <w:lvlJc w:val="left"/>
      <w:pPr>
        <w:tabs>
          <w:tab w:val="num" w:pos="360"/>
        </w:tabs>
        <w:ind w:left="360" w:hanging="360"/>
      </w:pPr>
      <w:rPr>
        <w:rFonts w:ascii="Times New Roman" w:hAnsi="Times New Roman" w:hint="default"/>
        <w:b w:val="0"/>
        <w:bCs w:val="0"/>
        <w:i w:val="0"/>
        <w:iCs w:val="0"/>
        <w:sz w:val="16"/>
        <w:szCs w:val="16"/>
      </w:rPr>
    </w:lvl>
  </w:abstractNum>
  <w:abstractNum w:abstractNumId="16" w15:restartNumberingAfterBreak="0">
    <w:nsid w:val="560C5789"/>
    <w:multiLevelType w:val="hybridMultilevel"/>
    <w:tmpl w:val="E8CA34CE"/>
    <w:lvl w:ilvl="0" w:tplc="08090001">
      <w:start w:val="1"/>
      <w:numFmt w:val="bullet"/>
      <w:lvlText w:val=""/>
      <w:lvlJc w:val="left"/>
      <w:pPr>
        <w:ind w:left="893" w:hanging="360"/>
      </w:pPr>
      <w:rPr>
        <w:rFonts w:ascii="Symbol" w:hAnsi="Symbol" w:hint="default"/>
      </w:rPr>
    </w:lvl>
    <w:lvl w:ilvl="1" w:tplc="04090003" w:tentative="1">
      <w:start w:val="1"/>
      <w:numFmt w:val="bullet"/>
      <w:lvlText w:val="o"/>
      <w:lvlJc w:val="left"/>
      <w:pPr>
        <w:ind w:left="1613" w:hanging="360"/>
      </w:pPr>
      <w:rPr>
        <w:rFonts w:ascii="Courier New" w:hAnsi="Courier New" w:cs="Courier New" w:hint="default"/>
      </w:rPr>
    </w:lvl>
    <w:lvl w:ilvl="2" w:tplc="04090005" w:tentative="1">
      <w:start w:val="1"/>
      <w:numFmt w:val="bullet"/>
      <w:lvlText w:val=""/>
      <w:lvlJc w:val="left"/>
      <w:pPr>
        <w:ind w:left="2333" w:hanging="360"/>
      </w:pPr>
      <w:rPr>
        <w:rFonts w:ascii="Wingdings" w:hAnsi="Wingdings" w:hint="default"/>
      </w:rPr>
    </w:lvl>
    <w:lvl w:ilvl="3" w:tplc="04090001" w:tentative="1">
      <w:start w:val="1"/>
      <w:numFmt w:val="bullet"/>
      <w:lvlText w:val=""/>
      <w:lvlJc w:val="left"/>
      <w:pPr>
        <w:ind w:left="3053" w:hanging="360"/>
      </w:pPr>
      <w:rPr>
        <w:rFonts w:ascii="Symbol" w:hAnsi="Symbol" w:hint="default"/>
      </w:rPr>
    </w:lvl>
    <w:lvl w:ilvl="4" w:tplc="04090003" w:tentative="1">
      <w:start w:val="1"/>
      <w:numFmt w:val="bullet"/>
      <w:lvlText w:val="o"/>
      <w:lvlJc w:val="left"/>
      <w:pPr>
        <w:ind w:left="3773" w:hanging="360"/>
      </w:pPr>
      <w:rPr>
        <w:rFonts w:ascii="Courier New" w:hAnsi="Courier New" w:cs="Courier New" w:hint="default"/>
      </w:rPr>
    </w:lvl>
    <w:lvl w:ilvl="5" w:tplc="04090005" w:tentative="1">
      <w:start w:val="1"/>
      <w:numFmt w:val="bullet"/>
      <w:lvlText w:val=""/>
      <w:lvlJc w:val="left"/>
      <w:pPr>
        <w:ind w:left="4493" w:hanging="360"/>
      </w:pPr>
      <w:rPr>
        <w:rFonts w:ascii="Wingdings" w:hAnsi="Wingdings" w:hint="default"/>
      </w:rPr>
    </w:lvl>
    <w:lvl w:ilvl="6" w:tplc="04090001" w:tentative="1">
      <w:start w:val="1"/>
      <w:numFmt w:val="bullet"/>
      <w:lvlText w:val=""/>
      <w:lvlJc w:val="left"/>
      <w:pPr>
        <w:ind w:left="5213" w:hanging="360"/>
      </w:pPr>
      <w:rPr>
        <w:rFonts w:ascii="Symbol" w:hAnsi="Symbol" w:hint="default"/>
      </w:rPr>
    </w:lvl>
    <w:lvl w:ilvl="7" w:tplc="04090003" w:tentative="1">
      <w:start w:val="1"/>
      <w:numFmt w:val="bullet"/>
      <w:lvlText w:val="o"/>
      <w:lvlJc w:val="left"/>
      <w:pPr>
        <w:ind w:left="5933" w:hanging="360"/>
      </w:pPr>
      <w:rPr>
        <w:rFonts w:ascii="Courier New" w:hAnsi="Courier New" w:cs="Courier New" w:hint="default"/>
      </w:rPr>
    </w:lvl>
    <w:lvl w:ilvl="8" w:tplc="04090005" w:tentative="1">
      <w:start w:val="1"/>
      <w:numFmt w:val="bullet"/>
      <w:lvlText w:val=""/>
      <w:lvlJc w:val="left"/>
      <w:pPr>
        <w:ind w:left="6653" w:hanging="360"/>
      </w:pPr>
      <w:rPr>
        <w:rFonts w:ascii="Wingdings" w:hAnsi="Wingdings" w:hint="default"/>
      </w:rPr>
    </w:lvl>
  </w:abstractNum>
  <w:abstractNum w:abstractNumId="17" w15:restartNumberingAfterBreak="0">
    <w:nsid w:val="56245C87"/>
    <w:multiLevelType w:val="hybridMultilevel"/>
    <w:tmpl w:val="E70C6F5E"/>
    <w:lvl w:ilvl="0" w:tplc="04090001">
      <w:start w:val="1"/>
      <w:numFmt w:val="bullet"/>
      <w:lvlText w:val=""/>
      <w:lvlJc w:val="left"/>
      <w:pPr>
        <w:ind w:left="1004" w:hanging="360"/>
      </w:pPr>
      <w:rPr>
        <w:rFonts w:ascii="Symbol" w:hAnsi="Symbol"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18" w15:restartNumberingAfterBreak="0">
    <w:nsid w:val="5877067D"/>
    <w:multiLevelType w:val="hybridMultilevel"/>
    <w:tmpl w:val="1244065A"/>
    <w:lvl w:ilvl="0" w:tplc="44090001">
      <w:start w:val="1"/>
      <w:numFmt w:val="bullet"/>
      <w:lvlText w:val=""/>
      <w:lvlJc w:val="left"/>
      <w:pPr>
        <w:ind w:left="1008" w:hanging="360"/>
      </w:pPr>
      <w:rPr>
        <w:rFonts w:ascii="Symbol" w:hAnsi="Symbol" w:hint="default"/>
      </w:rPr>
    </w:lvl>
    <w:lvl w:ilvl="1" w:tplc="44090003" w:tentative="1">
      <w:start w:val="1"/>
      <w:numFmt w:val="bullet"/>
      <w:lvlText w:val="o"/>
      <w:lvlJc w:val="left"/>
      <w:pPr>
        <w:ind w:left="1728" w:hanging="360"/>
      </w:pPr>
      <w:rPr>
        <w:rFonts w:ascii="Courier New" w:hAnsi="Courier New" w:cs="Courier New" w:hint="default"/>
      </w:rPr>
    </w:lvl>
    <w:lvl w:ilvl="2" w:tplc="44090005" w:tentative="1">
      <w:start w:val="1"/>
      <w:numFmt w:val="bullet"/>
      <w:lvlText w:val=""/>
      <w:lvlJc w:val="left"/>
      <w:pPr>
        <w:ind w:left="2448" w:hanging="360"/>
      </w:pPr>
      <w:rPr>
        <w:rFonts w:ascii="Wingdings" w:hAnsi="Wingdings" w:hint="default"/>
      </w:rPr>
    </w:lvl>
    <w:lvl w:ilvl="3" w:tplc="44090001" w:tentative="1">
      <w:start w:val="1"/>
      <w:numFmt w:val="bullet"/>
      <w:lvlText w:val=""/>
      <w:lvlJc w:val="left"/>
      <w:pPr>
        <w:ind w:left="3168" w:hanging="360"/>
      </w:pPr>
      <w:rPr>
        <w:rFonts w:ascii="Symbol" w:hAnsi="Symbol" w:hint="default"/>
      </w:rPr>
    </w:lvl>
    <w:lvl w:ilvl="4" w:tplc="44090003" w:tentative="1">
      <w:start w:val="1"/>
      <w:numFmt w:val="bullet"/>
      <w:lvlText w:val="o"/>
      <w:lvlJc w:val="left"/>
      <w:pPr>
        <w:ind w:left="3888" w:hanging="360"/>
      </w:pPr>
      <w:rPr>
        <w:rFonts w:ascii="Courier New" w:hAnsi="Courier New" w:cs="Courier New" w:hint="default"/>
      </w:rPr>
    </w:lvl>
    <w:lvl w:ilvl="5" w:tplc="44090005" w:tentative="1">
      <w:start w:val="1"/>
      <w:numFmt w:val="bullet"/>
      <w:lvlText w:val=""/>
      <w:lvlJc w:val="left"/>
      <w:pPr>
        <w:ind w:left="4608" w:hanging="360"/>
      </w:pPr>
      <w:rPr>
        <w:rFonts w:ascii="Wingdings" w:hAnsi="Wingdings" w:hint="default"/>
      </w:rPr>
    </w:lvl>
    <w:lvl w:ilvl="6" w:tplc="44090001" w:tentative="1">
      <w:start w:val="1"/>
      <w:numFmt w:val="bullet"/>
      <w:lvlText w:val=""/>
      <w:lvlJc w:val="left"/>
      <w:pPr>
        <w:ind w:left="5328" w:hanging="360"/>
      </w:pPr>
      <w:rPr>
        <w:rFonts w:ascii="Symbol" w:hAnsi="Symbol" w:hint="default"/>
      </w:rPr>
    </w:lvl>
    <w:lvl w:ilvl="7" w:tplc="44090003" w:tentative="1">
      <w:start w:val="1"/>
      <w:numFmt w:val="bullet"/>
      <w:lvlText w:val="o"/>
      <w:lvlJc w:val="left"/>
      <w:pPr>
        <w:ind w:left="6048" w:hanging="360"/>
      </w:pPr>
      <w:rPr>
        <w:rFonts w:ascii="Courier New" w:hAnsi="Courier New" w:cs="Courier New" w:hint="default"/>
      </w:rPr>
    </w:lvl>
    <w:lvl w:ilvl="8" w:tplc="44090005" w:tentative="1">
      <w:start w:val="1"/>
      <w:numFmt w:val="bullet"/>
      <w:lvlText w:val=""/>
      <w:lvlJc w:val="left"/>
      <w:pPr>
        <w:ind w:left="6768" w:hanging="360"/>
      </w:pPr>
      <w:rPr>
        <w:rFonts w:ascii="Wingdings" w:hAnsi="Wingdings" w:hint="default"/>
      </w:rPr>
    </w:lvl>
  </w:abstractNum>
  <w:abstractNum w:abstractNumId="19" w15:restartNumberingAfterBreak="0">
    <w:nsid w:val="58B5521D"/>
    <w:multiLevelType w:val="hybridMultilevel"/>
    <w:tmpl w:val="D99239C2"/>
    <w:lvl w:ilvl="0" w:tplc="04090001">
      <w:start w:val="1"/>
      <w:numFmt w:val="bullet"/>
      <w:lvlText w:val=""/>
      <w:lvlJc w:val="left"/>
      <w:pPr>
        <w:ind w:left="1004" w:hanging="360"/>
      </w:pPr>
      <w:rPr>
        <w:rFonts w:ascii="Symbol" w:hAnsi="Symbol"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20" w15:restartNumberingAfterBreak="0">
    <w:nsid w:val="58B56176"/>
    <w:multiLevelType w:val="hybridMultilevel"/>
    <w:tmpl w:val="B5A4D6F2"/>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 w15:restartNumberingAfterBreak="0">
    <w:nsid w:val="63DD5A68"/>
    <w:multiLevelType w:val="hybridMultilevel"/>
    <w:tmpl w:val="C9400F7A"/>
    <w:lvl w:ilvl="0" w:tplc="0809000F">
      <w:start w:val="1"/>
      <w:numFmt w:val="decimal"/>
      <w:lvlText w:val="%1."/>
      <w:lvlJc w:val="left"/>
      <w:pPr>
        <w:ind w:left="1440" w:hanging="360"/>
      </w:p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2" w15:restartNumberingAfterBreak="0">
    <w:nsid w:val="6C402C58"/>
    <w:multiLevelType w:val="hybridMultilevel"/>
    <w:tmpl w:val="4C327A48"/>
    <w:lvl w:ilvl="0" w:tplc="855CB50C">
      <w:start w:val="1"/>
      <w:numFmt w:val="decimal"/>
      <w:pStyle w:val="figurecaption"/>
      <w:lvlText w:val="Fig. %1."/>
      <w:lvlJc w:val="left"/>
      <w:pPr>
        <w:ind w:left="540" w:hanging="360"/>
      </w:pPr>
      <w:rPr>
        <w:rFonts w:ascii="Times New Roman" w:hAnsi="Times New Roman" w:hint="default"/>
        <w:b w:val="0"/>
        <w:bCs w:val="0"/>
        <w:i w:val="0"/>
        <w:iCs w:val="0"/>
        <w:color w:val="auto"/>
        <w:sz w:val="20"/>
        <w:szCs w:val="2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23"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24"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726029251">
    <w:abstractNumId w:val="8"/>
  </w:num>
  <w:num w:numId="2" w16cid:durableId="136382022">
    <w:abstractNumId w:val="4"/>
  </w:num>
  <w:num w:numId="3" w16cid:durableId="1289776494">
    <w:abstractNumId w:val="23"/>
  </w:num>
  <w:num w:numId="4" w16cid:durableId="1850363118">
    <w:abstractNumId w:val="22"/>
  </w:num>
  <w:num w:numId="5" w16cid:durableId="239294032">
    <w:abstractNumId w:val="2"/>
  </w:num>
  <w:num w:numId="6" w16cid:durableId="392974639">
    <w:abstractNumId w:val="7"/>
  </w:num>
  <w:num w:numId="7" w16cid:durableId="1118717447">
    <w:abstractNumId w:val="1"/>
  </w:num>
  <w:num w:numId="8" w16cid:durableId="328606293">
    <w:abstractNumId w:val="15"/>
  </w:num>
  <w:num w:numId="9" w16cid:durableId="1659963131">
    <w:abstractNumId w:val="0"/>
  </w:num>
  <w:num w:numId="10" w16cid:durableId="1856724466">
    <w:abstractNumId w:val="16"/>
  </w:num>
  <w:num w:numId="11" w16cid:durableId="583102155">
    <w:abstractNumId w:val="10"/>
  </w:num>
  <w:num w:numId="12" w16cid:durableId="1100612925">
    <w:abstractNumId w:val="5"/>
  </w:num>
  <w:num w:numId="13" w16cid:durableId="275329301">
    <w:abstractNumId w:val="11"/>
  </w:num>
  <w:num w:numId="14" w16cid:durableId="1001664529">
    <w:abstractNumId w:val="9"/>
  </w:num>
  <w:num w:numId="15" w16cid:durableId="45226020">
    <w:abstractNumId w:val="21"/>
  </w:num>
  <w:num w:numId="16" w16cid:durableId="913507937">
    <w:abstractNumId w:val="17"/>
  </w:num>
  <w:num w:numId="17" w16cid:durableId="1716856875">
    <w:abstractNumId w:val="13"/>
  </w:num>
  <w:num w:numId="18" w16cid:durableId="841941570">
    <w:abstractNumId w:val="12"/>
  </w:num>
  <w:num w:numId="19" w16cid:durableId="155004105">
    <w:abstractNumId w:val="14"/>
  </w:num>
  <w:num w:numId="20" w16cid:durableId="1214002288">
    <w:abstractNumId w:val="19"/>
  </w:num>
  <w:num w:numId="21" w16cid:durableId="636183116">
    <w:abstractNumId w:val="20"/>
  </w:num>
  <w:num w:numId="22" w16cid:durableId="1018849077">
    <w:abstractNumId w:val="6"/>
  </w:num>
  <w:num w:numId="23" w16cid:durableId="2056157884">
    <w:abstractNumId w:val="18"/>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2"/>
  <w:printPostScriptOverText/>
  <w:embedSystemFonts/>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Numbered&lt;/Style&gt;&lt;LeftDelim&gt;{&lt;/LeftDelim&gt;&lt;RightDelim&gt;}&lt;/RightDelim&gt;&lt;FontName&gt;Times New Roman&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xvtee90rp5v9toefwervx5ar0wf9pfs9v9ed&quot;&gt;My EndNote Library&lt;record-ids&gt;&lt;item&gt;191&lt;/item&gt;&lt;item&gt;195&lt;/item&gt;&lt;item&gt;196&lt;/item&gt;&lt;item&gt;197&lt;/item&gt;&lt;item&gt;198&lt;/item&gt;&lt;item&gt;199&lt;/item&gt;&lt;item&gt;200&lt;/item&gt;&lt;item&gt;201&lt;/item&gt;&lt;item&gt;202&lt;/item&gt;&lt;item&gt;203&lt;/item&gt;&lt;item&gt;204&lt;/item&gt;&lt;item&gt;205&lt;/item&gt;&lt;item&gt;206&lt;/item&gt;&lt;item&gt;207&lt;/item&gt;&lt;item&gt;208&lt;/item&gt;&lt;item&gt;209&lt;/item&gt;&lt;item&gt;210&lt;/item&gt;&lt;item&gt;211&lt;/item&gt;&lt;/record-ids&gt;&lt;/item&gt;&lt;/Libraries&gt;"/>
  </w:docVars>
  <w:rsids>
    <w:rsidRoot w:val="00C14B14"/>
    <w:rsid w:val="00003D7C"/>
    <w:rsid w:val="00014140"/>
    <w:rsid w:val="000159EE"/>
    <w:rsid w:val="00022092"/>
    <w:rsid w:val="00025DC0"/>
    <w:rsid w:val="00027428"/>
    <w:rsid w:val="00031EC9"/>
    <w:rsid w:val="000341DF"/>
    <w:rsid w:val="00037552"/>
    <w:rsid w:val="00061C8A"/>
    <w:rsid w:val="00066FED"/>
    <w:rsid w:val="00072964"/>
    <w:rsid w:val="00075EA6"/>
    <w:rsid w:val="0007709F"/>
    <w:rsid w:val="00086F62"/>
    <w:rsid w:val="00090674"/>
    <w:rsid w:val="0009320B"/>
    <w:rsid w:val="00096AE0"/>
    <w:rsid w:val="000A04C2"/>
    <w:rsid w:val="000B1B74"/>
    <w:rsid w:val="000B3A2D"/>
    <w:rsid w:val="000B49C0"/>
    <w:rsid w:val="000C26D1"/>
    <w:rsid w:val="000C6E07"/>
    <w:rsid w:val="000D42B2"/>
    <w:rsid w:val="000E20EE"/>
    <w:rsid w:val="000E382F"/>
    <w:rsid w:val="000E75CD"/>
    <w:rsid w:val="001036BA"/>
    <w:rsid w:val="00110946"/>
    <w:rsid w:val="001146DC"/>
    <w:rsid w:val="00114AB1"/>
    <w:rsid w:val="001230FF"/>
    <w:rsid w:val="00130BD7"/>
    <w:rsid w:val="001339C1"/>
    <w:rsid w:val="001378E7"/>
    <w:rsid w:val="001466BE"/>
    <w:rsid w:val="00151BE1"/>
    <w:rsid w:val="00155B67"/>
    <w:rsid w:val="001562AF"/>
    <w:rsid w:val="00157179"/>
    <w:rsid w:val="00161A5B"/>
    <w:rsid w:val="0016385D"/>
    <w:rsid w:val="001661DE"/>
    <w:rsid w:val="0016782F"/>
    <w:rsid w:val="0017022D"/>
    <w:rsid w:val="001777B0"/>
    <w:rsid w:val="00187A68"/>
    <w:rsid w:val="001937E9"/>
    <w:rsid w:val="001964E5"/>
    <w:rsid w:val="001A0415"/>
    <w:rsid w:val="001A066E"/>
    <w:rsid w:val="001A07A9"/>
    <w:rsid w:val="001A555E"/>
    <w:rsid w:val="001B263B"/>
    <w:rsid w:val="001B3632"/>
    <w:rsid w:val="001B476A"/>
    <w:rsid w:val="001B4BCE"/>
    <w:rsid w:val="001B6C87"/>
    <w:rsid w:val="001C7446"/>
    <w:rsid w:val="001C764F"/>
    <w:rsid w:val="001C7BB3"/>
    <w:rsid w:val="001D3FBD"/>
    <w:rsid w:val="001D469C"/>
    <w:rsid w:val="001D722D"/>
    <w:rsid w:val="001E03E6"/>
    <w:rsid w:val="001E33D1"/>
    <w:rsid w:val="001E346B"/>
    <w:rsid w:val="001E38B4"/>
    <w:rsid w:val="001E7886"/>
    <w:rsid w:val="001F1593"/>
    <w:rsid w:val="0020528A"/>
    <w:rsid w:val="0021619E"/>
    <w:rsid w:val="00226D98"/>
    <w:rsid w:val="0023171B"/>
    <w:rsid w:val="002362AA"/>
    <w:rsid w:val="00236BFC"/>
    <w:rsid w:val="00237437"/>
    <w:rsid w:val="002425AC"/>
    <w:rsid w:val="00242C4E"/>
    <w:rsid w:val="00246284"/>
    <w:rsid w:val="002502FD"/>
    <w:rsid w:val="00255FAE"/>
    <w:rsid w:val="002562F4"/>
    <w:rsid w:val="00274622"/>
    <w:rsid w:val="0027522A"/>
    <w:rsid w:val="00277C09"/>
    <w:rsid w:val="00283493"/>
    <w:rsid w:val="00285D24"/>
    <w:rsid w:val="00290390"/>
    <w:rsid w:val="002915D3"/>
    <w:rsid w:val="002924DB"/>
    <w:rsid w:val="002941DA"/>
    <w:rsid w:val="002A4B22"/>
    <w:rsid w:val="002A64A1"/>
    <w:rsid w:val="002B5648"/>
    <w:rsid w:val="002C04CD"/>
    <w:rsid w:val="002C2C59"/>
    <w:rsid w:val="002D2C81"/>
    <w:rsid w:val="002D3032"/>
    <w:rsid w:val="002D38E9"/>
    <w:rsid w:val="002E3C35"/>
    <w:rsid w:val="002F5298"/>
    <w:rsid w:val="00300F13"/>
    <w:rsid w:val="0031206A"/>
    <w:rsid w:val="00326AE0"/>
    <w:rsid w:val="00335920"/>
    <w:rsid w:val="00337E4F"/>
    <w:rsid w:val="00340C36"/>
    <w:rsid w:val="00346A9D"/>
    <w:rsid w:val="003663F4"/>
    <w:rsid w:val="00367F67"/>
    <w:rsid w:val="00371685"/>
    <w:rsid w:val="00372A5B"/>
    <w:rsid w:val="003750D3"/>
    <w:rsid w:val="00376B82"/>
    <w:rsid w:val="00382408"/>
    <w:rsid w:val="0039376F"/>
    <w:rsid w:val="003A287B"/>
    <w:rsid w:val="003A56B9"/>
    <w:rsid w:val="003A5C85"/>
    <w:rsid w:val="003A61B1"/>
    <w:rsid w:val="003B0050"/>
    <w:rsid w:val="003B2C38"/>
    <w:rsid w:val="003B46DD"/>
    <w:rsid w:val="003D19E5"/>
    <w:rsid w:val="003D6312"/>
    <w:rsid w:val="003D715B"/>
    <w:rsid w:val="003E4EA6"/>
    <w:rsid w:val="003E64C0"/>
    <w:rsid w:val="003E7C74"/>
    <w:rsid w:val="003F31C6"/>
    <w:rsid w:val="00400876"/>
    <w:rsid w:val="0040225B"/>
    <w:rsid w:val="00402DA2"/>
    <w:rsid w:val="00403819"/>
    <w:rsid w:val="004133DD"/>
    <w:rsid w:val="0042433E"/>
    <w:rsid w:val="00425AC2"/>
    <w:rsid w:val="00436ADC"/>
    <w:rsid w:val="0044170A"/>
    <w:rsid w:val="00443037"/>
    <w:rsid w:val="0044771F"/>
    <w:rsid w:val="0046745F"/>
    <w:rsid w:val="004738C4"/>
    <w:rsid w:val="00473B24"/>
    <w:rsid w:val="00474599"/>
    <w:rsid w:val="00483643"/>
    <w:rsid w:val="004848C4"/>
    <w:rsid w:val="00485A40"/>
    <w:rsid w:val="004958D0"/>
    <w:rsid w:val="004A451E"/>
    <w:rsid w:val="004A5A5B"/>
    <w:rsid w:val="004A66B7"/>
    <w:rsid w:val="004B151D"/>
    <w:rsid w:val="004C31BE"/>
    <w:rsid w:val="004C7243"/>
    <w:rsid w:val="004D6A88"/>
    <w:rsid w:val="004E21DE"/>
    <w:rsid w:val="004E3C57"/>
    <w:rsid w:val="004E3CB2"/>
    <w:rsid w:val="004E4DE6"/>
    <w:rsid w:val="0051536F"/>
    <w:rsid w:val="00516303"/>
    <w:rsid w:val="00523351"/>
    <w:rsid w:val="00525813"/>
    <w:rsid w:val="00526794"/>
    <w:rsid w:val="00527F63"/>
    <w:rsid w:val="00531C6D"/>
    <w:rsid w:val="0053513F"/>
    <w:rsid w:val="0054256E"/>
    <w:rsid w:val="00565D35"/>
    <w:rsid w:val="00566D57"/>
    <w:rsid w:val="00573E34"/>
    <w:rsid w:val="00574405"/>
    <w:rsid w:val="005800A7"/>
    <w:rsid w:val="005854B0"/>
    <w:rsid w:val="0059404E"/>
    <w:rsid w:val="00595E71"/>
    <w:rsid w:val="00597504"/>
    <w:rsid w:val="005A0E21"/>
    <w:rsid w:val="005A3834"/>
    <w:rsid w:val="005A6091"/>
    <w:rsid w:val="005B21D0"/>
    <w:rsid w:val="005B3A34"/>
    <w:rsid w:val="005B3F6D"/>
    <w:rsid w:val="005B631B"/>
    <w:rsid w:val="005D0EA0"/>
    <w:rsid w:val="005D237B"/>
    <w:rsid w:val="005D49AF"/>
    <w:rsid w:val="005E0D9E"/>
    <w:rsid w:val="005E415C"/>
    <w:rsid w:val="005E71ED"/>
    <w:rsid w:val="005E7946"/>
    <w:rsid w:val="005F2FEB"/>
    <w:rsid w:val="005F7475"/>
    <w:rsid w:val="00601D1B"/>
    <w:rsid w:val="006061A3"/>
    <w:rsid w:val="00606B62"/>
    <w:rsid w:val="00611299"/>
    <w:rsid w:val="00613B4D"/>
    <w:rsid w:val="00616365"/>
    <w:rsid w:val="00616F3B"/>
    <w:rsid w:val="00620280"/>
    <w:rsid w:val="006248D5"/>
    <w:rsid w:val="006249A7"/>
    <w:rsid w:val="006323DA"/>
    <w:rsid w:val="0064079E"/>
    <w:rsid w:val="0064225B"/>
    <w:rsid w:val="006460F9"/>
    <w:rsid w:val="006521FB"/>
    <w:rsid w:val="006530A1"/>
    <w:rsid w:val="0065406A"/>
    <w:rsid w:val="00672791"/>
    <w:rsid w:val="00674CD6"/>
    <w:rsid w:val="006763F9"/>
    <w:rsid w:val="00683A0C"/>
    <w:rsid w:val="00690126"/>
    <w:rsid w:val="006949BC"/>
    <w:rsid w:val="006A6A49"/>
    <w:rsid w:val="006B1B5A"/>
    <w:rsid w:val="006B74BE"/>
    <w:rsid w:val="006D1229"/>
    <w:rsid w:val="006D372F"/>
    <w:rsid w:val="006D7A18"/>
    <w:rsid w:val="006E4474"/>
    <w:rsid w:val="006E61D0"/>
    <w:rsid w:val="006F0F1F"/>
    <w:rsid w:val="00701388"/>
    <w:rsid w:val="00706BD9"/>
    <w:rsid w:val="007147A9"/>
    <w:rsid w:val="007158C1"/>
    <w:rsid w:val="00723B7F"/>
    <w:rsid w:val="00725861"/>
    <w:rsid w:val="0073043E"/>
    <w:rsid w:val="0073393A"/>
    <w:rsid w:val="00734675"/>
    <w:rsid w:val="0073539D"/>
    <w:rsid w:val="00741804"/>
    <w:rsid w:val="007418E5"/>
    <w:rsid w:val="0074199B"/>
    <w:rsid w:val="00747D15"/>
    <w:rsid w:val="00747E96"/>
    <w:rsid w:val="0075309C"/>
    <w:rsid w:val="0075366C"/>
    <w:rsid w:val="00756E3B"/>
    <w:rsid w:val="00762857"/>
    <w:rsid w:val="00762BC6"/>
    <w:rsid w:val="00767B8A"/>
    <w:rsid w:val="00775481"/>
    <w:rsid w:val="00790B6F"/>
    <w:rsid w:val="007A233B"/>
    <w:rsid w:val="007A6312"/>
    <w:rsid w:val="007B306B"/>
    <w:rsid w:val="007B4863"/>
    <w:rsid w:val="007B537C"/>
    <w:rsid w:val="007B778F"/>
    <w:rsid w:val="007C07AB"/>
    <w:rsid w:val="007C315B"/>
    <w:rsid w:val="007C65E6"/>
    <w:rsid w:val="007D406B"/>
    <w:rsid w:val="007D4407"/>
    <w:rsid w:val="007E1CA3"/>
    <w:rsid w:val="00812D62"/>
    <w:rsid w:val="00812F29"/>
    <w:rsid w:val="00814B29"/>
    <w:rsid w:val="00821713"/>
    <w:rsid w:val="00827050"/>
    <w:rsid w:val="0083278B"/>
    <w:rsid w:val="00834538"/>
    <w:rsid w:val="00835980"/>
    <w:rsid w:val="008444A3"/>
    <w:rsid w:val="00844E9A"/>
    <w:rsid w:val="00845481"/>
    <w:rsid w:val="00847B6E"/>
    <w:rsid w:val="00850E89"/>
    <w:rsid w:val="0085282B"/>
    <w:rsid w:val="00863B0F"/>
    <w:rsid w:val="008735C5"/>
    <w:rsid w:val="00875388"/>
    <w:rsid w:val="00876683"/>
    <w:rsid w:val="00877F1D"/>
    <w:rsid w:val="008925E5"/>
    <w:rsid w:val="008930E4"/>
    <w:rsid w:val="00893821"/>
    <w:rsid w:val="00897CD8"/>
    <w:rsid w:val="00897CFB"/>
    <w:rsid w:val="008A7B9C"/>
    <w:rsid w:val="008B39FA"/>
    <w:rsid w:val="008B4754"/>
    <w:rsid w:val="008B5447"/>
    <w:rsid w:val="008D3CEB"/>
    <w:rsid w:val="008D420F"/>
    <w:rsid w:val="008E6A7A"/>
    <w:rsid w:val="008F1038"/>
    <w:rsid w:val="008F7046"/>
    <w:rsid w:val="009005FC"/>
    <w:rsid w:val="009043AD"/>
    <w:rsid w:val="00912E27"/>
    <w:rsid w:val="00922E5A"/>
    <w:rsid w:val="00923DB6"/>
    <w:rsid w:val="00943315"/>
    <w:rsid w:val="009455CC"/>
    <w:rsid w:val="00946C27"/>
    <w:rsid w:val="00950BAD"/>
    <w:rsid w:val="00960364"/>
    <w:rsid w:val="00963B98"/>
    <w:rsid w:val="00966D3E"/>
    <w:rsid w:val="009703AF"/>
    <w:rsid w:val="009726AB"/>
    <w:rsid w:val="00972D39"/>
    <w:rsid w:val="00977A55"/>
    <w:rsid w:val="009833E6"/>
    <w:rsid w:val="009958DE"/>
    <w:rsid w:val="009A2B86"/>
    <w:rsid w:val="009A4F3D"/>
    <w:rsid w:val="009B0478"/>
    <w:rsid w:val="009B06CF"/>
    <w:rsid w:val="009B696B"/>
    <w:rsid w:val="009B7671"/>
    <w:rsid w:val="009D4FDC"/>
    <w:rsid w:val="009D5D76"/>
    <w:rsid w:val="009E5BA1"/>
    <w:rsid w:val="009F056E"/>
    <w:rsid w:val="009F4E1A"/>
    <w:rsid w:val="00A05283"/>
    <w:rsid w:val="00A10CAC"/>
    <w:rsid w:val="00A16719"/>
    <w:rsid w:val="00A2481B"/>
    <w:rsid w:val="00A24F3D"/>
    <w:rsid w:val="00A26DCD"/>
    <w:rsid w:val="00A314BB"/>
    <w:rsid w:val="00A32710"/>
    <w:rsid w:val="00A32B7D"/>
    <w:rsid w:val="00A34379"/>
    <w:rsid w:val="00A346AC"/>
    <w:rsid w:val="00A37056"/>
    <w:rsid w:val="00A43A72"/>
    <w:rsid w:val="00A5596B"/>
    <w:rsid w:val="00A579B9"/>
    <w:rsid w:val="00A610CC"/>
    <w:rsid w:val="00A646B3"/>
    <w:rsid w:val="00A6739B"/>
    <w:rsid w:val="00A7399D"/>
    <w:rsid w:val="00A76E05"/>
    <w:rsid w:val="00A90413"/>
    <w:rsid w:val="00A95E9D"/>
    <w:rsid w:val="00A96810"/>
    <w:rsid w:val="00AA000A"/>
    <w:rsid w:val="00AA02AC"/>
    <w:rsid w:val="00AA728C"/>
    <w:rsid w:val="00AB0A9C"/>
    <w:rsid w:val="00AB7119"/>
    <w:rsid w:val="00AC253F"/>
    <w:rsid w:val="00AD5855"/>
    <w:rsid w:val="00AE7500"/>
    <w:rsid w:val="00AE7F87"/>
    <w:rsid w:val="00AF3542"/>
    <w:rsid w:val="00AF5ABE"/>
    <w:rsid w:val="00AF67D0"/>
    <w:rsid w:val="00B00415"/>
    <w:rsid w:val="00B03C2A"/>
    <w:rsid w:val="00B1000D"/>
    <w:rsid w:val="00B10134"/>
    <w:rsid w:val="00B10B62"/>
    <w:rsid w:val="00B11758"/>
    <w:rsid w:val="00B16BFE"/>
    <w:rsid w:val="00B2570C"/>
    <w:rsid w:val="00B2610B"/>
    <w:rsid w:val="00B500E5"/>
    <w:rsid w:val="00B717F6"/>
    <w:rsid w:val="00BA39BB"/>
    <w:rsid w:val="00BA3B3D"/>
    <w:rsid w:val="00BB7EEA"/>
    <w:rsid w:val="00BC75DD"/>
    <w:rsid w:val="00BD1909"/>
    <w:rsid w:val="00BD4024"/>
    <w:rsid w:val="00BD6DA6"/>
    <w:rsid w:val="00BD7FFC"/>
    <w:rsid w:val="00BE04D0"/>
    <w:rsid w:val="00BE07E3"/>
    <w:rsid w:val="00BE52A6"/>
    <w:rsid w:val="00BE5E16"/>
    <w:rsid w:val="00BE5FD1"/>
    <w:rsid w:val="00BF61D0"/>
    <w:rsid w:val="00C06E05"/>
    <w:rsid w:val="00C12C94"/>
    <w:rsid w:val="00C14B14"/>
    <w:rsid w:val="00C15354"/>
    <w:rsid w:val="00C17370"/>
    <w:rsid w:val="00C2054D"/>
    <w:rsid w:val="00C233B5"/>
    <w:rsid w:val="00C24D29"/>
    <w:rsid w:val="00C252EB"/>
    <w:rsid w:val="00C26EC0"/>
    <w:rsid w:val="00C36752"/>
    <w:rsid w:val="00C56C77"/>
    <w:rsid w:val="00C63D0C"/>
    <w:rsid w:val="00C8301C"/>
    <w:rsid w:val="00C84923"/>
    <w:rsid w:val="00C85BBF"/>
    <w:rsid w:val="00C93BF3"/>
    <w:rsid w:val="00CB7B3E"/>
    <w:rsid w:val="00CB7D61"/>
    <w:rsid w:val="00CC0B05"/>
    <w:rsid w:val="00CC1D06"/>
    <w:rsid w:val="00CC739D"/>
    <w:rsid w:val="00CD02D4"/>
    <w:rsid w:val="00CD0A59"/>
    <w:rsid w:val="00CD795F"/>
    <w:rsid w:val="00CE0D3C"/>
    <w:rsid w:val="00CE7546"/>
    <w:rsid w:val="00D04468"/>
    <w:rsid w:val="00D0512D"/>
    <w:rsid w:val="00D1065D"/>
    <w:rsid w:val="00D2691E"/>
    <w:rsid w:val="00D301A8"/>
    <w:rsid w:val="00D30640"/>
    <w:rsid w:val="00D36257"/>
    <w:rsid w:val="00D4166A"/>
    <w:rsid w:val="00D4687E"/>
    <w:rsid w:val="00D528BA"/>
    <w:rsid w:val="00D53A12"/>
    <w:rsid w:val="00D73531"/>
    <w:rsid w:val="00D842DD"/>
    <w:rsid w:val="00D867F7"/>
    <w:rsid w:val="00D87E2A"/>
    <w:rsid w:val="00D87F86"/>
    <w:rsid w:val="00D934C9"/>
    <w:rsid w:val="00D9563F"/>
    <w:rsid w:val="00DB0C43"/>
    <w:rsid w:val="00DB32F4"/>
    <w:rsid w:val="00DD6CD3"/>
    <w:rsid w:val="00DE3354"/>
    <w:rsid w:val="00DF7DCD"/>
    <w:rsid w:val="00E00CDE"/>
    <w:rsid w:val="00E206E0"/>
    <w:rsid w:val="00E41C45"/>
    <w:rsid w:val="00E43B67"/>
    <w:rsid w:val="00E44A60"/>
    <w:rsid w:val="00E46AF5"/>
    <w:rsid w:val="00E50B7D"/>
    <w:rsid w:val="00E56C27"/>
    <w:rsid w:val="00E8193D"/>
    <w:rsid w:val="00E904A1"/>
    <w:rsid w:val="00EA5FC5"/>
    <w:rsid w:val="00EA6F94"/>
    <w:rsid w:val="00EB1D17"/>
    <w:rsid w:val="00EB7D28"/>
    <w:rsid w:val="00EC0D0C"/>
    <w:rsid w:val="00EC1351"/>
    <w:rsid w:val="00EC364F"/>
    <w:rsid w:val="00EC7FB3"/>
    <w:rsid w:val="00ED4A2C"/>
    <w:rsid w:val="00EF18C4"/>
    <w:rsid w:val="00EF6940"/>
    <w:rsid w:val="00EF712A"/>
    <w:rsid w:val="00EF7532"/>
    <w:rsid w:val="00F04D59"/>
    <w:rsid w:val="00F121A8"/>
    <w:rsid w:val="00F2044A"/>
    <w:rsid w:val="00F20BFC"/>
    <w:rsid w:val="00F212F0"/>
    <w:rsid w:val="00F24D5F"/>
    <w:rsid w:val="00F30652"/>
    <w:rsid w:val="00F32DE8"/>
    <w:rsid w:val="00F35439"/>
    <w:rsid w:val="00F35CDD"/>
    <w:rsid w:val="00F37436"/>
    <w:rsid w:val="00F66CFE"/>
    <w:rsid w:val="00F726C3"/>
    <w:rsid w:val="00F749F1"/>
    <w:rsid w:val="00F7798E"/>
    <w:rsid w:val="00F820CA"/>
    <w:rsid w:val="00F8554C"/>
    <w:rsid w:val="00F8699D"/>
    <w:rsid w:val="00F904D6"/>
    <w:rsid w:val="00F95F82"/>
    <w:rsid w:val="00F97878"/>
    <w:rsid w:val="00F97A90"/>
    <w:rsid w:val="00FC2F35"/>
    <w:rsid w:val="00FC3FD7"/>
    <w:rsid w:val="00FC77C8"/>
    <w:rsid w:val="00FD0139"/>
    <w:rsid w:val="00FD1FC6"/>
    <w:rsid w:val="00FD7BE9"/>
    <w:rsid w:val="00FE080F"/>
    <w:rsid w:val="00FE5869"/>
    <w:rsid w:val="00FF124C"/>
    <w:rsid w:val="00FF3D59"/>
    <w:rsid w:val="00FF6D53"/>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A7DAFF2"/>
  <w15:docId w15:val="{3B121B4A-06B2-40BF-BECE-4B088022DD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iPriority="99"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F7798E"/>
    <w:rPr>
      <w:sz w:val="24"/>
      <w:lang w:val="en-US" w:eastAsia="en-US"/>
    </w:rPr>
  </w:style>
  <w:style w:type="paragraph" w:styleId="Heading1">
    <w:name w:val="heading 1"/>
    <w:basedOn w:val="Normal"/>
    <w:next w:val="Paragraph"/>
    <w:qFormat/>
    <w:pPr>
      <w:keepNext/>
      <w:spacing w:before="240" w:after="240"/>
      <w:jc w:val="center"/>
      <w:outlineLvl w:val="0"/>
    </w:pPr>
    <w:rPr>
      <w:b/>
      <w:caps/>
    </w:rPr>
  </w:style>
  <w:style w:type="paragraph" w:styleId="Heading2">
    <w:name w:val="heading 2"/>
    <w:basedOn w:val="Normal"/>
    <w:next w:val="Paragraph"/>
    <w:qFormat/>
    <w:pPr>
      <w:keepNext/>
      <w:spacing w:before="240" w:after="240"/>
      <w:jc w:val="center"/>
      <w:outlineLvl w:val="1"/>
    </w:pPr>
    <w:rPr>
      <w:b/>
    </w:rPr>
  </w:style>
  <w:style w:type="paragraph" w:styleId="Heading3">
    <w:name w:val="heading 3"/>
    <w:basedOn w:val="Normal"/>
    <w:next w:val="Normal"/>
    <w:qFormat/>
    <w:rsid w:val="005854B0"/>
    <w:pPr>
      <w:keepNext/>
      <w:spacing w:before="240" w:after="240"/>
      <w:jc w:val="center"/>
      <w:outlineLvl w:val="2"/>
    </w:pPr>
    <w:rPr>
      <w:i/>
      <w:iCs/>
      <w:sz w:val="20"/>
      <w:lang w:val="en-GB" w:eastAsia="en-GB"/>
    </w:rPr>
  </w:style>
  <w:style w:type="paragraph" w:styleId="Heading5">
    <w:name w:val="heading 5"/>
    <w:basedOn w:val="Normal"/>
    <w:next w:val="Normal"/>
    <w:link w:val="Heading5Char"/>
    <w:semiHidden/>
    <w:unhideWhenUsed/>
    <w:qFormat/>
    <w:rsid w:val="00566D57"/>
    <w:pPr>
      <w:keepNext/>
      <w:keepLines/>
      <w:spacing w:before="40"/>
      <w:outlineLvl w:val="4"/>
    </w:pPr>
    <w:rPr>
      <w:rFonts w:asciiTheme="majorHAnsi" w:eastAsiaTheme="majorEastAsia" w:hAnsiTheme="majorHAnsi" w:cstheme="majorBidi"/>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numPr>
        <w:numId w:val="1"/>
      </w:numPr>
      <w:ind w:left="426" w:hanging="426"/>
    </w:pPr>
  </w:style>
  <w:style w:type="paragraph" w:customStyle="1" w:styleId="FigureCaption0">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rPr>
      <w:color w:val="0000FF"/>
      <w:u w:val="single"/>
    </w:rPr>
  </w:style>
  <w:style w:type="table" w:styleId="TableGrid">
    <w:name w:val="Table Grid"/>
    <w:basedOn w:val="TableNormal"/>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
      </w:numPr>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0"/>
    <w:qFormat/>
    <w:rsid w:val="005A0E21"/>
    <w:rPr>
      <w:szCs w:val="18"/>
    </w:rPr>
  </w:style>
  <w:style w:type="paragraph" w:customStyle="1" w:styleId="Paragraphnumbered">
    <w:name w:val="Paragraph (numbered)"/>
    <w:rsid w:val="000B49C0"/>
    <w:pPr>
      <w:numPr>
        <w:numId w:val="3"/>
      </w:numPr>
      <w:jc w:val="both"/>
    </w:pPr>
    <w:rPr>
      <w:lang w:val="en-US" w:eastAsia="en-US"/>
    </w:rPr>
  </w:style>
  <w:style w:type="character" w:styleId="UnresolvedMention">
    <w:name w:val="Unresolved Mention"/>
    <w:basedOn w:val="DefaultParagraphFont"/>
    <w:uiPriority w:val="99"/>
    <w:semiHidden/>
    <w:unhideWhenUsed/>
    <w:rsid w:val="00613B4D"/>
    <w:rPr>
      <w:color w:val="808080"/>
      <w:shd w:val="clear" w:color="auto" w:fill="E6E6E6"/>
    </w:rPr>
  </w:style>
  <w:style w:type="paragraph" w:styleId="ListParagraph">
    <w:name w:val="List Paragraph"/>
    <w:basedOn w:val="Normal"/>
    <w:uiPriority w:val="34"/>
    <w:qFormat/>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semiHidden/>
    <w:unhideWhenUsed/>
    <w:rsid w:val="005E71ED"/>
    <w:rPr>
      <w:sz w:val="20"/>
    </w:rPr>
  </w:style>
  <w:style w:type="character" w:customStyle="1" w:styleId="CommentTextChar">
    <w:name w:val="Comment Text Char"/>
    <w:basedOn w:val="DefaultParagraphFont"/>
    <w:link w:val="CommentText"/>
    <w:semiHidden/>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 w:type="paragraph" w:styleId="BodyText">
    <w:name w:val="Body Text"/>
    <w:basedOn w:val="Normal"/>
    <w:link w:val="BodyTextChar"/>
    <w:rsid w:val="00D4166A"/>
    <w:pPr>
      <w:tabs>
        <w:tab w:val="left" w:pos="288"/>
      </w:tabs>
      <w:spacing w:after="120" w:line="228" w:lineRule="auto"/>
      <w:ind w:firstLine="288"/>
      <w:jc w:val="both"/>
    </w:pPr>
    <w:rPr>
      <w:rFonts w:eastAsia="SimSun"/>
      <w:spacing w:val="-1"/>
      <w:sz w:val="20"/>
      <w:lang w:val="x-none" w:eastAsia="x-none"/>
    </w:rPr>
  </w:style>
  <w:style w:type="character" w:customStyle="1" w:styleId="BodyTextChar">
    <w:name w:val="Body Text Char"/>
    <w:basedOn w:val="DefaultParagraphFont"/>
    <w:link w:val="BodyText"/>
    <w:rsid w:val="00D4166A"/>
    <w:rPr>
      <w:rFonts w:eastAsia="SimSun"/>
      <w:spacing w:val="-1"/>
      <w:lang w:val="x-none" w:eastAsia="x-none"/>
    </w:rPr>
  </w:style>
  <w:style w:type="paragraph" w:customStyle="1" w:styleId="figurecaption">
    <w:name w:val="figure caption"/>
    <w:rsid w:val="00D4166A"/>
    <w:pPr>
      <w:numPr>
        <w:numId w:val="4"/>
      </w:numPr>
      <w:tabs>
        <w:tab w:val="left" w:pos="533"/>
      </w:tabs>
      <w:spacing w:before="80" w:after="200"/>
      <w:ind w:left="0" w:firstLine="0"/>
      <w:jc w:val="both"/>
    </w:pPr>
    <w:rPr>
      <w:rFonts w:eastAsia="SimSun"/>
      <w:noProof/>
      <w:sz w:val="16"/>
      <w:szCs w:val="16"/>
      <w:lang w:val="en-US" w:eastAsia="en-US"/>
    </w:rPr>
  </w:style>
  <w:style w:type="paragraph" w:customStyle="1" w:styleId="bulletlist">
    <w:name w:val="bullet list"/>
    <w:basedOn w:val="BodyText"/>
    <w:rsid w:val="00BE07E3"/>
    <w:pPr>
      <w:numPr>
        <w:numId w:val="6"/>
      </w:numPr>
      <w:tabs>
        <w:tab w:val="clear" w:pos="648"/>
      </w:tabs>
      <w:ind w:left="576" w:hanging="288"/>
    </w:pPr>
  </w:style>
  <w:style w:type="character" w:customStyle="1" w:styleId="Heading5Char">
    <w:name w:val="Heading 5 Char"/>
    <w:basedOn w:val="DefaultParagraphFont"/>
    <w:link w:val="Heading5"/>
    <w:semiHidden/>
    <w:rsid w:val="00566D57"/>
    <w:rPr>
      <w:rFonts w:asciiTheme="majorHAnsi" w:eastAsiaTheme="majorEastAsia" w:hAnsiTheme="majorHAnsi" w:cstheme="majorBidi"/>
      <w:color w:val="365F91" w:themeColor="accent1" w:themeShade="BF"/>
      <w:sz w:val="24"/>
      <w:lang w:val="en-US" w:eastAsia="en-US"/>
    </w:rPr>
  </w:style>
  <w:style w:type="paragraph" w:customStyle="1" w:styleId="references">
    <w:name w:val="references"/>
    <w:rsid w:val="003D19E5"/>
    <w:pPr>
      <w:numPr>
        <w:numId w:val="8"/>
      </w:numPr>
      <w:spacing w:after="50" w:line="180" w:lineRule="exact"/>
      <w:jc w:val="both"/>
    </w:pPr>
    <w:rPr>
      <w:rFonts w:eastAsia="MS Mincho"/>
      <w:noProof/>
      <w:sz w:val="16"/>
      <w:szCs w:val="16"/>
      <w:lang w:val="en-US" w:eastAsia="en-US"/>
    </w:rPr>
  </w:style>
  <w:style w:type="character" w:styleId="FollowedHyperlink">
    <w:name w:val="FollowedHyperlink"/>
    <w:basedOn w:val="DefaultParagraphFont"/>
    <w:semiHidden/>
    <w:unhideWhenUsed/>
    <w:rsid w:val="009043AD"/>
    <w:rPr>
      <w:color w:val="800080" w:themeColor="followedHyperlink"/>
      <w:u w:val="single"/>
    </w:rPr>
  </w:style>
  <w:style w:type="character" w:styleId="HTMLCode">
    <w:name w:val="HTML Code"/>
    <w:basedOn w:val="DefaultParagraphFont"/>
    <w:uiPriority w:val="99"/>
    <w:semiHidden/>
    <w:unhideWhenUsed/>
    <w:rsid w:val="00BD7FFC"/>
    <w:rPr>
      <w:rFonts w:ascii="Courier New" w:eastAsia="Times New Roman" w:hAnsi="Courier New" w:cs="Courier New"/>
      <w:sz w:val="20"/>
      <w:szCs w:val="20"/>
    </w:rPr>
  </w:style>
  <w:style w:type="paragraph" w:customStyle="1" w:styleId="EndNoteBibliographyTitle">
    <w:name w:val="EndNote Bibliography Title"/>
    <w:basedOn w:val="Normal"/>
    <w:link w:val="EndNoteBibliographyTitleChar"/>
    <w:rsid w:val="00E44A60"/>
    <w:pPr>
      <w:jc w:val="center"/>
    </w:pPr>
    <w:rPr>
      <w:sz w:val="20"/>
    </w:rPr>
  </w:style>
  <w:style w:type="character" w:customStyle="1" w:styleId="EndNoteBibliographyTitleChar">
    <w:name w:val="EndNote Bibliography Title Char"/>
    <w:basedOn w:val="DefaultParagraphFont"/>
    <w:link w:val="EndNoteBibliographyTitle"/>
    <w:rsid w:val="00E44A60"/>
    <w:rPr>
      <w:lang w:val="en-US" w:eastAsia="en-US"/>
    </w:rPr>
  </w:style>
  <w:style w:type="paragraph" w:customStyle="1" w:styleId="EndNoteBibliography">
    <w:name w:val="EndNote Bibliography"/>
    <w:basedOn w:val="Normal"/>
    <w:link w:val="EndNoteBibliographyChar"/>
    <w:rsid w:val="00E44A60"/>
    <w:pPr>
      <w:jc w:val="both"/>
    </w:pPr>
    <w:rPr>
      <w:sz w:val="20"/>
    </w:rPr>
  </w:style>
  <w:style w:type="character" w:customStyle="1" w:styleId="EndNoteBibliographyChar">
    <w:name w:val="EndNote Bibliography Char"/>
    <w:basedOn w:val="DefaultParagraphFont"/>
    <w:link w:val="EndNoteBibliography"/>
    <w:rsid w:val="00E44A60"/>
    <w:rPr>
      <w:lang w:val="en-US" w:eastAsia="en-US"/>
    </w:rPr>
  </w:style>
  <w:style w:type="paragraph" w:styleId="Caption">
    <w:name w:val="caption"/>
    <w:basedOn w:val="Normal"/>
    <w:next w:val="Normal"/>
    <w:unhideWhenUsed/>
    <w:qFormat/>
    <w:rsid w:val="009726AB"/>
    <w:pPr>
      <w:spacing w:after="200"/>
    </w:pPr>
    <w:rPr>
      <w:i/>
      <w:iCs/>
      <w:color w:val="1F497D" w:themeColor="text2"/>
      <w:sz w:val="18"/>
      <w:szCs w:val="18"/>
    </w:rPr>
  </w:style>
  <w:style w:type="paragraph" w:customStyle="1" w:styleId="p1">
    <w:name w:val="p1"/>
    <w:basedOn w:val="Normal"/>
    <w:rsid w:val="00D2691E"/>
    <w:rPr>
      <w:rFonts w:ascii="Arial" w:hAnsi="Arial" w:cs="Arial"/>
      <w:color w:val="000000"/>
      <w:sz w:val="17"/>
      <w:szCs w:val="17"/>
    </w:rPr>
  </w:style>
  <w:style w:type="character" w:customStyle="1" w:styleId="apple-converted-space">
    <w:name w:val="apple-converted-space"/>
    <w:basedOn w:val="DefaultParagraphFont"/>
    <w:rsid w:val="00D2691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22714958">
      <w:bodyDiv w:val="1"/>
      <w:marLeft w:val="0"/>
      <w:marRight w:val="0"/>
      <w:marTop w:val="0"/>
      <w:marBottom w:val="0"/>
      <w:divBdr>
        <w:top w:val="none" w:sz="0" w:space="0" w:color="auto"/>
        <w:left w:val="none" w:sz="0" w:space="0" w:color="auto"/>
        <w:bottom w:val="none" w:sz="0" w:space="0" w:color="auto"/>
        <w:right w:val="none" w:sz="0" w:space="0" w:color="auto"/>
      </w:divBdr>
    </w:div>
    <w:div w:id="338314086">
      <w:bodyDiv w:val="1"/>
      <w:marLeft w:val="0"/>
      <w:marRight w:val="0"/>
      <w:marTop w:val="0"/>
      <w:marBottom w:val="0"/>
      <w:divBdr>
        <w:top w:val="none" w:sz="0" w:space="0" w:color="auto"/>
        <w:left w:val="none" w:sz="0" w:space="0" w:color="auto"/>
        <w:bottom w:val="none" w:sz="0" w:space="0" w:color="auto"/>
        <w:right w:val="none" w:sz="0" w:space="0" w:color="auto"/>
      </w:divBdr>
    </w:div>
    <w:div w:id="609314150">
      <w:bodyDiv w:val="1"/>
      <w:marLeft w:val="0"/>
      <w:marRight w:val="0"/>
      <w:marTop w:val="0"/>
      <w:marBottom w:val="0"/>
      <w:divBdr>
        <w:top w:val="none" w:sz="0" w:space="0" w:color="auto"/>
        <w:left w:val="none" w:sz="0" w:space="0" w:color="auto"/>
        <w:bottom w:val="none" w:sz="0" w:space="0" w:color="auto"/>
        <w:right w:val="none" w:sz="0" w:space="0" w:color="auto"/>
      </w:divBdr>
    </w:div>
    <w:div w:id="623731736">
      <w:bodyDiv w:val="1"/>
      <w:marLeft w:val="0"/>
      <w:marRight w:val="0"/>
      <w:marTop w:val="0"/>
      <w:marBottom w:val="0"/>
      <w:divBdr>
        <w:top w:val="none" w:sz="0" w:space="0" w:color="auto"/>
        <w:left w:val="none" w:sz="0" w:space="0" w:color="auto"/>
        <w:bottom w:val="none" w:sz="0" w:space="0" w:color="auto"/>
        <w:right w:val="none" w:sz="0" w:space="0" w:color="auto"/>
      </w:divBdr>
    </w:div>
    <w:div w:id="665597144">
      <w:bodyDiv w:val="1"/>
      <w:marLeft w:val="0"/>
      <w:marRight w:val="0"/>
      <w:marTop w:val="0"/>
      <w:marBottom w:val="0"/>
      <w:divBdr>
        <w:top w:val="none" w:sz="0" w:space="0" w:color="auto"/>
        <w:left w:val="none" w:sz="0" w:space="0" w:color="auto"/>
        <w:bottom w:val="none" w:sz="0" w:space="0" w:color="auto"/>
        <w:right w:val="none" w:sz="0" w:space="0" w:color="auto"/>
      </w:divBdr>
    </w:div>
    <w:div w:id="1027751820">
      <w:bodyDiv w:val="1"/>
      <w:marLeft w:val="0"/>
      <w:marRight w:val="0"/>
      <w:marTop w:val="0"/>
      <w:marBottom w:val="0"/>
      <w:divBdr>
        <w:top w:val="none" w:sz="0" w:space="0" w:color="auto"/>
        <w:left w:val="none" w:sz="0" w:space="0" w:color="auto"/>
        <w:bottom w:val="none" w:sz="0" w:space="0" w:color="auto"/>
        <w:right w:val="none" w:sz="0" w:space="0" w:color="auto"/>
      </w:divBdr>
    </w:div>
    <w:div w:id="1209994520">
      <w:bodyDiv w:val="1"/>
      <w:marLeft w:val="0"/>
      <w:marRight w:val="0"/>
      <w:marTop w:val="0"/>
      <w:marBottom w:val="0"/>
      <w:divBdr>
        <w:top w:val="none" w:sz="0" w:space="0" w:color="auto"/>
        <w:left w:val="none" w:sz="0" w:space="0" w:color="auto"/>
        <w:bottom w:val="none" w:sz="0" w:space="0" w:color="auto"/>
        <w:right w:val="none" w:sz="0" w:space="0" w:color="auto"/>
      </w:divBdr>
    </w:div>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555652475">
      <w:bodyDiv w:val="1"/>
      <w:marLeft w:val="0"/>
      <w:marRight w:val="0"/>
      <w:marTop w:val="0"/>
      <w:marBottom w:val="0"/>
      <w:divBdr>
        <w:top w:val="none" w:sz="0" w:space="0" w:color="auto"/>
        <w:left w:val="none" w:sz="0" w:space="0" w:color="auto"/>
        <w:bottom w:val="none" w:sz="0" w:space="0" w:color="auto"/>
        <w:right w:val="none" w:sz="0" w:space="0" w:color="auto"/>
      </w:divBdr>
    </w:div>
    <w:div w:id="1601526549">
      <w:bodyDiv w:val="1"/>
      <w:marLeft w:val="0"/>
      <w:marRight w:val="0"/>
      <w:marTop w:val="0"/>
      <w:marBottom w:val="0"/>
      <w:divBdr>
        <w:top w:val="none" w:sz="0" w:space="0" w:color="auto"/>
        <w:left w:val="none" w:sz="0" w:space="0" w:color="auto"/>
        <w:bottom w:val="none" w:sz="0" w:space="0" w:color="auto"/>
        <w:right w:val="none" w:sz="0" w:space="0" w:color="auto"/>
      </w:divBdr>
    </w:div>
    <w:div w:id="1664963703">
      <w:bodyDiv w:val="1"/>
      <w:marLeft w:val="0"/>
      <w:marRight w:val="0"/>
      <w:marTop w:val="0"/>
      <w:marBottom w:val="0"/>
      <w:divBdr>
        <w:top w:val="none" w:sz="0" w:space="0" w:color="auto"/>
        <w:left w:val="none" w:sz="0" w:space="0" w:color="auto"/>
        <w:bottom w:val="none" w:sz="0" w:space="0" w:color="auto"/>
        <w:right w:val="none" w:sz="0" w:space="0" w:color="auto"/>
      </w:divBdr>
    </w:div>
    <w:div w:id="1680740566">
      <w:bodyDiv w:val="1"/>
      <w:marLeft w:val="0"/>
      <w:marRight w:val="0"/>
      <w:marTop w:val="0"/>
      <w:marBottom w:val="0"/>
      <w:divBdr>
        <w:top w:val="none" w:sz="0" w:space="0" w:color="auto"/>
        <w:left w:val="none" w:sz="0" w:space="0" w:color="auto"/>
        <w:bottom w:val="none" w:sz="0" w:space="0" w:color="auto"/>
        <w:right w:val="none" w:sz="0" w:space="0" w:color="auto"/>
      </w:divBdr>
    </w:div>
    <w:div w:id="1687829824">
      <w:bodyDiv w:val="1"/>
      <w:marLeft w:val="0"/>
      <w:marRight w:val="0"/>
      <w:marTop w:val="0"/>
      <w:marBottom w:val="0"/>
      <w:divBdr>
        <w:top w:val="none" w:sz="0" w:space="0" w:color="auto"/>
        <w:left w:val="none" w:sz="0" w:space="0" w:color="auto"/>
        <w:bottom w:val="none" w:sz="0" w:space="0" w:color="auto"/>
        <w:right w:val="none" w:sz="0" w:space="0" w:color="auto"/>
      </w:divBdr>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 w:id="2007051418">
      <w:bodyDiv w:val="1"/>
      <w:marLeft w:val="0"/>
      <w:marRight w:val="0"/>
      <w:marTop w:val="0"/>
      <w:marBottom w:val="0"/>
      <w:divBdr>
        <w:top w:val="none" w:sz="0" w:space="0" w:color="auto"/>
        <w:left w:val="none" w:sz="0" w:space="0" w:color="auto"/>
        <w:bottom w:val="none" w:sz="0" w:space="0" w:color="auto"/>
        <w:right w:val="none" w:sz="0" w:space="0" w:color="auto"/>
      </w:divBdr>
    </w:div>
    <w:div w:id="20296725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4.pn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3.pn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pn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image" Target="media/image1.png"/><Relationship Id="rId4" Type="http://schemas.openxmlformats.org/officeDocument/2006/relationships/customXml" Target="../customXml/item4.xml"/><Relationship Id="rId9" Type="http://schemas.openxmlformats.org/officeDocument/2006/relationships/hyperlink" Target="mailto:uzma.jafar@mmu.edu.my" TargetMode="External"/><Relationship Id="rId14"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0844FC6D-7350-442F-8936-25B8D55E2C0C}">
  <ds:schemaRefs>
    <ds:schemaRef ds:uri="http://schemas.microsoft.com/sharepoint/v3/contenttype/forms"/>
  </ds:schemaRefs>
</ds:datastoreItem>
</file>

<file path=customXml/itemProps3.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697ED27-AAD2-43E1-AA38-35C3287351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291</TotalTime>
  <Pages>8</Pages>
  <Words>6140</Words>
  <Characters>35004</Characters>
  <Application>Microsoft Office Word</Application>
  <DocSecurity>0</DocSecurity>
  <Lines>291</Lines>
  <Paragraphs>82</Paragraphs>
  <ScaleCrop>false</ScaleCrop>
  <HeadingPairs>
    <vt:vector size="2" baseType="variant">
      <vt:variant>
        <vt:lpstr>Title</vt:lpstr>
      </vt:variant>
      <vt:variant>
        <vt:i4>1</vt:i4>
      </vt:variant>
    </vt:vector>
  </HeadingPairs>
  <TitlesOfParts>
    <vt:vector size="1" baseType="lpstr">
      <vt:lpstr>Title Goes Here</vt:lpstr>
    </vt:vector>
  </TitlesOfParts>
  <Company>PPI</Company>
  <LinksUpToDate>false</LinksUpToDate>
  <CharactersWithSpaces>41062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Haw Su Cheng</cp:lastModifiedBy>
  <cp:revision>274</cp:revision>
  <cp:lastPrinted>2025-10-04T02:42:00Z</cp:lastPrinted>
  <dcterms:created xsi:type="dcterms:W3CDTF">2025-05-03T04:41:00Z</dcterms:created>
  <dcterms:modified xsi:type="dcterms:W3CDTF">2025-10-04T02:42:00Z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ies>
</file>